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4552" w14:textId="6BB6BF15" w:rsidR="006D34A7" w:rsidRDefault="006D34A7" w:rsidP="00141E0D">
      <w:pPr>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14:anchorId="10BA4082" wp14:editId="4A9F1FE8">
            <wp:simplePos x="0" y="0"/>
            <wp:positionH relativeFrom="margin">
              <wp:posOffset>2063750</wp:posOffset>
            </wp:positionH>
            <wp:positionV relativeFrom="paragraph">
              <wp:posOffset>-419100</wp:posOffset>
            </wp:positionV>
            <wp:extent cx="1816423"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sca_rgb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423" cy="695325"/>
                    </a:xfrm>
                    <a:prstGeom prst="rect">
                      <a:avLst/>
                    </a:prstGeom>
                  </pic:spPr>
                </pic:pic>
              </a:graphicData>
            </a:graphic>
            <wp14:sizeRelH relativeFrom="margin">
              <wp14:pctWidth>0</wp14:pctWidth>
            </wp14:sizeRelH>
            <wp14:sizeRelV relativeFrom="margin">
              <wp14:pctHeight>0</wp14:pctHeight>
            </wp14:sizeRelV>
          </wp:anchor>
        </w:drawing>
      </w:r>
    </w:p>
    <w:p w14:paraId="2CE7A666" w14:textId="11B8703E" w:rsidR="006D34A7" w:rsidRDefault="006D34A7" w:rsidP="00141E0D">
      <w:pPr>
        <w:spacing w:after="0" w:line="240" w:lineRule="auto"/>
        <w:jc w:val="center"/>
        <w:outlineLvl w:val="1"/>
        <w:rPr>
          <w:rFonts w:ascii="Times New Roman" w:eastAsia="Times New Roman" w:hAnsi="Times New Roman" w:cs="Times New Roman"/>
          <w:b/>
          <w:bCs/>
          <w:sz w:val="24"/>
          <w:szCs w:val="24"/>
        </w:rPr>
      </w:pPr>
    </w:p>
    <w:p w14:paraId="3CAA4AB2" w14:textId="77777777" w:rsidR="006D34A7" w:rsidRPr="006D34A7" w:rsidRDefault="006D34A7" w:rsidP="00141E0D">
      <w:pPr>
        <w:spacing w:after="0" w:line="240" w:lineRule="auto"/>
        <w:jc w:val="center"/>
        <w:outlineLvl w:val="1"/>
        <w:rPr>
          <w:rFonts w:ascii="Times New Roman" w:eastAsia="Times New Roman" w:hAnsi="Times New Roman" w:cs="Times New Roman"/>
          <w:b/>
          <w:bCs/>
          <w:sz w:val="18"/>
          <w:szCs w:val="18"/>
        </w:rPr>
      </w:pPr>
    </w:p>
    <w:p w14:paraId="2B41B1A5" w14:textId="5597D3EF" w:rsidR="00141E0D" w:rsidRPr="00141E0D" w:rsidRDefault="00141E0D" w:rsidP="00141E0D">
      <w:pPr>
        <w:spacing w:after="0" w:line="240" w:lineRule="auto"/>
        <w:jc w:val="center"/>
        <w:outlineLvl w:val="1"/>
        <w:rPr>
          <w:rFonts w:ascii="Times New Roman" w:eastAsia="Times New Roman" w:hAnsi="Times New Roman" w:cs="Times New Roman"/>
          <w:b/>
          <w:bCs/>
          <w:sz w:val="24"/>
          <w:szCs w:val="24"/>
        </w:rPr>
      </w:pPr>
      <w:r w:rsidRPr="00141E0D">
        <w:rPr>
          <w:rFonts w:ascii="Times New Roman" w:eastAsia="Times New Roman" w:hAnsi="Times New Roman" w:cs="Times New Roman"/>
          <w:b/>
          <w:bCs/>
          <w:sz w:val="24"/>
          <w:szCs w:val="24"/>
        </w:rPr>
        <w:t>Am. Sub. H.B. 166: The FY 2020-2021 Biennial State Operating Budget</w:t>
      </w:r>
    </w:p>
    <w:p w14:paraId="39019241" w14:textId="77777777" w:rsidR="00141E0D" w:rsidRPr="00141E0D" w:rsidRDefault="00141E0D" w:rsidP="00141E0D">
      <w:pPr>
        <w:spacing w:after="0" w:line="240" w:lineRule="auto"/>
        <w:jc w:val="center"/>
        <w:outlineLvl w:val="1"/>
        <w:rPr>
          <w:rFonts w:ascii="Times New Roman" w:eastAsia="Times New Roman" w:hAnsi="Times New Roman" w:cs="Times New Roman"/>
          <w:b/>
          <w:bCs/>
          <w:sz w:val="24"/>
          <w:szCs w:val="24"/>
        </w:rPr>
      </w:pPr>
      <w:r w:rsidRPr="00141E0D">
        <w:rPr>
          <w:rFonts w:ascii="Times New Roman" w:eastAsia="Times New Roman" w:hAnsi="Times New Roman" w:cs="Times New Roman"/>
          <w:b/>
          <w:bCs/>
          <w:sz w:val="24"/>
          <w:szCs w:val="24"/>
        </w:rPr>
        <w:t>Education Funding &amp; Policy Update</w:t>
      </w:r>
    </w:p>
    <w:p w14:paraId="24781FB0" w14:textId="77777777" w:rsidR="00141E0D" w:rsidRPr="00141E0D" w:rsidRDefault="00141E0D" w:rsidP="00141E0D">
      <w:pPr>
        <w:spacing w:after="0" w:line="240" w:lineRule="auto"/>
        <w:outlineLvl w:val="1"/>
        <w:rPr>
          <w:rFonts w:ascii="Times New Roman" w:eastAsia="Times New Roman" w:hAnsi="Times New Roman" w:cs="Times New Roman"/>
          <w:sz w:val="24"/>
          <w:szCs w:val="24"/>
        </w:rPr>
      </w:pPr>
    </w:p>
    <w:p w14:paraId="0FEBFE43" w14:textId="7478CF32" w:rsidR="00141E0D" w:rsidRPr="00141E0D" w:rsidRDefault="00141E0D" w:rsidP="00141E0D">
      <w:pPr>
        <w:spacing w:after="0" w:line="240" w:lineRule="auto"/>
        <w:jc w:val="center"/>
        <w:outlineLvl w:val="1"/>
        <w:rPr>
          <w:rFonts w:ascii="Times New Roman" w:eastAsia="Times New Roman" w:hAnsi="Times New Roman" w:cs="Times New Roman"/>
          <w:sz w:val="24"/>
          <w:szCs w:val="24"/>
        </w:rPr>
      </w:pPr>
      <w:r w:rsidRPr="00141E0D">
        <w:rPr>
          <w:rFonts w:ascii="Times New Roman" w:eastAsia="Times New Roman" w:hAnsi="Times New Roman" w:cs="Times New Roman"/>
          <w:sz w:val="24"/>
          <w:szCs w:val="24"/>
        </w:rPr>
        <w:t>June 2</w:t>
      </w:r>
      <w:r w:rsidR="006D34A7">
        <w:rPr>
          <w:rFonts w:ascii="Times New Roman" w:eastAsia="Times New Roman" w:hAnsi="Times New Roman" w:cs="Times New Roman"/>
          <w:sz w:val="24"/>
          <w:szCs w:val="24"/>
        </w:rPr>
        <w:t>8</w:t>
      </w:r>
      <w:r w:rsidRPr="00141E0D">
        <w:rPr>
          <w:rFonts w:ascii="Times New Roman" w:eastAsia="Times New Roman" w:hAnsi="Times New Roman" w:cs="Times New Roman"/>
          <w:sz w:val="24"/>
          <w:szCs w:val="24"/>
        </w:rPr>
        <w:t>, 2019</w:t>
      </w:r>
    </w:p>
    <w:p w14:paraId="0F8F57A0" w14:textId="77777777" w:rsidR="00141E0D" w:rsidRPr="00141E0D" w:rsidRDefault="00141E0D" w:rsidP="00141E0D">
      <w:pPr>
        <w:spacing w:after="0" w:line="240" w:lineRule="auto"/>
        <w:outlineLvl w:val="1"/>
        <w:rPr>
          <w:rFonts w:ascii="Times New Roman" w:eastAsia="Times New Roman" w:hAnsi="Times New Roman" w:cs="Times New Roman"/>
          <w:sz w:val="24"/>
          <w:szCs w:val="24"/>
        </w:rPr>
      </w:pPr>
    </w:p>
    <w:p w14:paraId="0DC8D39F" w14:textId="77777777" w:rsidR="00315D05" w:rsidRDefault="00080093" w:rsidP="00315D05">
      <w:pPr>
        <w:spacing w:after="0" w:line="240" w:lineRule="auto"/>
        <w:outlineLvl w:val="1"/>
        <w:rPr>
          <w:rFonts w:ascii="Times New Roman" w:eastAsia="Times New Roman" w:hAnsi="Times New Roman" w:cs="Times New Roman"/>
          <w:sz w:val="24"/>
          <w:szCs w:val="24"/>
        </w:rPr>
      </w:pPr>
      <w:r w:rsidRPr="00141E0D">
        <w:rPr>
          <w:rFonts w:ascii="Times New Roman" w:eastAsia="Times New Roman" w:hAnsi="Times New Roman" w:cs="Times New Roman"/>
          <w:sz w:val="24"/>
          <w:szCs w:val="24"/>
        </w:rPr>
        <w:t xml:space="preserve">Ohio's biennial budget process is entering the home stretch after the measure cleared the Senate unanimously </w:t>
      </w:r>
      <w:r w:rsidR="00315D05">
        <w:rPr>
          <w:rFonts w:ascii="Times New Roman" w:eastAsia="Times New Roman" w:hAnsi="Times New Roman" w:cs="Times New Roman"/>
          <w:sz w:val="24"/>
          <w:szCs w:val="24"/>
        </w:rPr>
        <w:t xml:space="preserve">last </w:t>
      </w:r>
      <w:r w:rsidRPr="00141E0D">
        <w:rPr>
          <w:rFonts w:ascii="Times New Roman" w:eastAsia="Times New Roman" w:hAnsi="Times New Roman" w:cs="Times New Roman"/>
          <w:sz w:val="24"/>
          <w:szCs w:val="24"/>
        </w:rPr>
        <w:t xml:space="preserve">Thursday with changes to </w:t>
      </w:r>
      <w:r w:rsidR="00141E0D" w:rsidRPr="00141E0D">
        <w:rPr>
          <w:rFonts w:ascii="Times New Roman" w:eastAsia="Times New Roman" w:hAnsi="Times New Roman" w:cs="Times New Roman"/>
          <w:sz w:val="24"/>
          <w:szCs w:val="24"/>
        </w:rPr>
        <w:t>education funding and policy including but not limited to academic distress commission</w:t>
      </w:r>
      <w:r w:rsidR="001244A8">
        <w:rPr>
          <w:rFonts w:ascii="Times New Roman" w:eastAsia="Times New Roman" w:hAnsi="Times New Roman" w:cs="Times New Roman"/>
          <w:sz w:val="24"/>
          <w:szCs w:val="24"/>
        </w:rPr>
        <w:t>s</w:t>
      </w:r>
      <w:r w:rsidR="00141E0D" w:rsidRPr="00141E0D">
        <w:rPr>
          <w:rFonts w:ascii="Times New Roman" w:eastAsia="Times New Roman" w:hAnsi="Times New Roman" w:cs="Times New Roman"/>
          <w:sz w:val="24"/>
          <w:szCs w:val="24"/>
        </w:rPr>
        <w:t xml:space="preserve">, </w:t>
      </w:r>
      <w:r w:rsidRPr="00141E0D">
        <w:rPr>
          <w:rFonts w:ascii="Times New Roman" w:eastAsia="Times New Roman" w:hAnsi="Times New Roman" w:cs="Times New Roman"/>
          <w:sz w:val="24"/>
          <w:szCs w:val="24"/>
        </w:rPr>
        <w:t xml:space="preserve">state graduation requirements and report cards. </w:t>
      </w:r>
      <w:r w:rsidR="001244A8">
        <w:rPr>
          <w:rFonts w:ascii="Times New Roman" w:eastAsia="Times New Roman" w:hAnsi="Times New Roman" w:cs="Times New Roman"/>
          <w:sz w:val="24"/>
          <w:szCs w:val="24"/>
        </w:rPr>
        <w:t>These changes</w:t>
      </w:r>
      <w:r w:rsidRPr="00141E0D">
        <w:rPr>
          <w:rFonts w:ascii="Times New Roman" w:eastAsia="Times New Roman" w:hAnsi="Times New Roman" w:cs="Times New Roman"/>
          <w:sz w:val="24"/>
          <w:szCs w:val="24"/>
        </w:rPr>
        <w:t xml:space="preserve"> set up a difference between the House and Senate versions that will allow for further consideration of the issue</w:t>
      </w:r>
      <w:r w:rsidR="001244A8">
        <w:rPr>
          <w:rFonts w:ascii="Times New Roman" w:eastAsia="Times New Roman" w:hAnsi="Times New Roman" w:cs="Times New Roman"/>
          <w:sz w:val="24"/>
          <w:szCs w:val="24"/>
        </w:rPr>
        <w:t>s</w:t>
      </w:r>
      <w:r w:rsidRPr="00141E0D">
        <w:rPr>
          <w:rFonts w:ascii="Times New Roman" w:eastAsia="Times New Roman" w:hAnsi="Times New Roman" w:cs="Times New Roman"/>
          <w:sz w:val="24"/>
          <w:szCs w:val="24"/>
        </w:rPr>
        <w:t xml:space="preserve"> in conference committee.</w:t>
      </w:r>
      <w:r w:rsidR="00ED68C0">
        <w:rPr>
          <w:rFonts w:ascii="Times New Roman" w:eastAsia="Times New Roman" w:hAnsi="Times New Roman" w:cs="Times New Roman"/>
          <w:sz w:val="24"/>
          <w:szCs w:val="24"/>
        </w:rPr>
        <w:t xml:space="preserve">  </w:t>
      </w:r>
      <w:r w:rsidR="00315D05">
        <w:rPr>
          <w:rFonts w:ascii="Times New Roman" w:eastAsia="Times New Roman" w:hAnsi="Times New Roman" w:cs="Times New Roman"/>
          <w:sz w:val="24"/>
          <w:szCs w:val="24"/>
        </w:rPr>
        <w:t>Conference committee kicked off on Tuesday, June 25 with updated fiscal forecasts.</w:t>
      </w:r>
    </w:p>
    <w:p w14:paraId="6A718272" w14:textId="77777777" w:rsidR="00315D05" w:rsidRPr="00315D05" w:rsidRDefault="00315D05" w:rsidP="00315D05">
      <w:pPr>
        <w:spacing w:after="0" w:line="240" w:lineRule="auto"/>
        <w:outlineLvl w:val="1"/>
        <w:rPr>
          <w:rFonts w:ascii="Times New Roman" w:eastAsia="Times New Roman" w:hAnsi="Times New Roman" w:cs="Times New Roman"/>
          <w:sz w:val="24"/>
          <w:szCs w:val="24"/>
        </w:rPr>
      </w:pPr>
    </w:p>
    <w:p w14:paraId="07C2E66A" w14:textId="6A6D986E" w:rsidR="00315D05" w:rsidRPr="00315D05" w:rsidRDefault="00315D05" w:rsidP="00315D05">
      <w:pPr>
        <w:spacing w:after="0" w:line="240" w:lineRule="auto"/>
        <w:outlineLvl w:val="1"/>
        <w:rPr>
          <w:rFonts w:ascii="Times New Roman" w:eastAsia="Times New Roman" w:hAnsi="Times New Roman" w:cs="Times New Roman"/>
          <w:sz w:val="24"/>
          <w:szCs w:val="24"/>
        </w:rPr>
      </w:pPr>
      <w:r w:rsidRPr="00315D05">
        <w:rPr>
          <w:rFonts w:ascii="Times New Roman" w:eastAsia="Times New Roman" w:hAnsi="Times New Roman" w:cs="Times New Roman"/>
          <w:sz w:val="24"/>
          <w:szCs w:val="24"/>
        </w:rPr>
        <w:t xml:space="preserve">According to OBM Director Kim Murnieks, </w:t>
      </w:r>
      <w:r w:rsidRPr="00315D05">
        <w:rPr>
          <w:rFonts w:ascii="Times New Roman" w:hAnsi="Times New Roman" w:cs="Times New Roman"/>
          <w:sz w:val="24"/>
          <w:szCs w:val="24"/>
        </w:rPr>
        <w:t>s</w:t>
      </w:r>
      <w:r w:rsidRPr="00315D05">
        <w:rPr>
          <w:rFonts w:ascii="Times New Roman" w:hAnsi="Times New Roman" w:cs="Times New Roman"/>
          <w:sz w:val="24"/>
          <w:szCs w:val="24"/>
        </w:rPr>
        <w:t xml:space="preserve">ince </w:t>
      </w:r>
      <w:r w:rsidRPr="00315D05">
        <w:rPr>
          <w:rFonts w:ascii="Times New Roman" w:hAnsi="Times New Roman" w:cs="Times New Roman"/>
          <w:sz w:val="24"/>
          <w:szCs w:val="24"/>
        </w:rPr>
        <w:t>her</w:t>
      </w:r>
      <w:r w:rsidRPr="00315D05">
        <w:rPr>
          <w:rFonts w:ascii="Times New Roman" w:hAnsi="Times New Roman" w:cs="Times New Roman"/>
          <w:sz w:val="24"/>
          <w:szCs w:val="24"/>
        </w:rPr>
        <w:t xml:space="preserve"> testimony before the Senate Finance Committee </w:t>
      </w:r>
      <w:r w:rsidRPr="00315D05">
        <w:rPr>
          <w:rFonts w:ascii="Times New Roman" w:hAnsi="Times New Roman" w:cs="Times New Roman"/>
          <w:sz w:val="24"/>
          <w:szCs w:val="24"/>
        </w:rPr>
        <w:t>in</w:t>
      </w:r>
      <w:r w:rsidRPr="00315D05">
        <w:rPr>
          <w:rFonts w:ascii="Times New Roman" w:hAnsi="Times New Roman" w:cs="Times New Roman"/>
          <w:sz w:val="24"/>
          <w:szCs w:val="24"/>
        </w:rPr>
        <w:t xml:space="preserve"> April, April and May revenues have exceeded previous projections. General Revenue Fund (GRF) tax revenues in total exceeded the Financial Report estimate by $414 million in April and by $66 million in May, bringing the year-to-date overage to $617 million, or 3.0 percent. This is already more than double the Blue Book overage of $255 million that </w:t>
      </w:r>
      <w:r w:rsidRPr="00315D05">
        <w:rPr>
          <w:rFonts w:ascii="Times New Roman" w:hAnsi="Times New Roman" w:cs="Times New Roman"/>
          <w:sz w:val="24"/>
          <w:szCs w:val="24"/>
        </w:rPr>
        <w:t>was</w:t>
      </w:r>
      <w:r w:rsidRPr="00315D05">
        <w:rPr>
          <w:rFonts w:ascii="Times New Roman" w:hAnsi="Times New Roman" w:cs="Times New Roman"/>
          <w:sz w:val="24"/>
          <w:szCs w:val="24"/>
        </w:rPr>
        <w:t xml:space="preserve"> estimated in March relative to the start-of-the-fiscal year Financial Report estimate.</w:t>
      </w:r>
      <w:r w:rsidRPr="00315D05">
        <w:rPr>
          <w:rFonts w:ascii="Times New Roman" w:hAnsi="Times New Roman" w:cs="Times New Roman"/>
          <w:sz w:val="24"/>
          <w:szCs w:val="24"/>
        </w:rPr>
        <w:t xml:space="preserve">  All of this points to positive economic momentum and the likelihood that many of the key priorities will be retained in the budget when passed.</w:t>
      </w:r>
    </w:p>
    <w:p w14:paraId="089F97FB" w14:textId="77777777" w:rsidR="00315D05" w:rsidRPr="00315D05" w:rsidRDefault="00315D05" w:rsidP="00141E0D">
      <w:pPr>
        <w:spacing w:after="0" w:line="240" w:lineRule="auto"/>
        <w:outlineLvl w:val="1"/>
        <w:rPr>
          <w:rFonts w:ascii="Times New Roman" w:eastAsia="Times New Roman" w:hAnsi="Times New Roman" w:cs="Times New Roman"/>
          <w:sz w:val="24"/>
          <w:szCs w:val="24"/>
        </w:rPr>
      </w:pPr>
    </w:p>
    <w:p w14:paraId="456031D1" w14:textId="20416A81" w:rsidR="00080093" w:rsidRDefault="00ED68C0" w:rsidP="00141E0D">
      <w:pPr>
        <w:spacing w:after="0" w:line="240" w:lineRule="auto"/>
        <w:outlineLvl w:val="1"/>
        <w:rPr>
          <w:rFonts w:ascii="Times New Roman" w:hAnsi="Times New Roman" w:cs="Times New Roman"/>
          <w:color w:val="333333"/>
          <w:sz w:val="24"/>
          <w:szCs w:val="24"/>
        </w:rPr>
      </w:pPr>
      <w:r w:rsidRPr="00315D05">
        <w:rPr>
          <w:rFonts w:ascii="Times New Roman" w:eastAsia="Times New Roman" w:hAnsi="Times New Roman" w:cs="Times New Roman"/>
          <w:sz w:val="24"/>
          <w:szCs w:val="24"/>
        </w:rPr>
        <w:t>To follow is a review of the key education</w:t>
      </w:r>
      <w:r>
        <w:rPr>
          <w:rFonts w:ascii="Times New Roman" w:eastAsia="Times New Roman" w:hAnsi="Times New Roman" w:cs="Times New Roman"/>
          <w:sz w:val="24"/>
          <w:szCs w:val="24"/>
        </w:rPr>
        <w:t xml:space="preserve"> funding and policy issues of interest.</w:t>
      </w:r>
    </w:p>
    <w:p w14:paraId="74B8F5A7" w14:textId="76B50339" w:rsidR="001244A8" w:rsidRDefault="001244A8" w:rsidP="00141E0D">
      <w:pPr>
        <w:spacing w:after="0" w:line="240" w:lineRule="auto"/>
        <w:outlineLvl w:val="1"/>
        <w:rPr>
          <w:rFonts w:ascii="Times New Roman" w:hAnsi="Times New Roman" w:cs="Times New Roman"/>
          <w:color w:val="333333"/>
          <w:sz w:val="24"/>
          <w:szCs w:val="24"/>
        </w:rPr>
      </w:pPr>
    </w:p>
    <w:p w14:paraId="4C940A0E" w14:textId="446094EF" w:rsidR="00DB00DC" w:rsidRPr="002679E5" w:rsidRDefault="00ED68C0" w:rsidP="00DB00DC">
      <w:pPr>
        <w:spacing w:after="0" w:line="240" w:lineRule="auto"/>
        <w:rPr>
          <w:rFonts w:ascii="Times New Roman" w:hAnsi="Times New Roman" w:cs="Times New Roman"/>
          <w:sz w:val="24"/>
          <w:szCs w:val="24"/>
        </w:rPr>
      </w:pPr>
      <w:r>
        <w:rPr>
          <w:rFonts w:ascii="Times New Roman" w:eastAsia="Times New Roman" w:hAnsi="Times New Roman" w:cs="Times New Roman"/>
          <w:b/>
          <w:bCs/>
          <w:i/>
          <w:iCs/>
          <w:sz w:val="24"/>
          <w:szCs w:val="24"/>
        </w:rPr>
        <w:t>Education Funding.</w:t>
      </w:r>
      <w:r w:rsidR="00371ADB">
        <w:rPr>
          <w:rFonts w:ascii="Times New Roman" w:eastAsia="Times New Roman" w:hAnsi="Times New Roman" w:cs="Times New Roman"/>
          <w:sz w:val="24"/>
          <w:szCs w:val="24"/>
        </w:rPr>
        <w:t xml:space="preserve"> </w:t>
      </w:r>
      <w:r w:rsidR="00371ADB" w:rsidRPr="002679E5">
        <w:rPr>
          <w:rFonts w:ascii="Times New Roman" w:eastAsia="Times New Roman" w:hAnsi="Times New Roman" w:cs="Times New Roman"/>
          <w:sz w:val="24"/>
          <w:szCs w:val="24"/>
        </w:rPr>
        <w:t>The FY 2020-2021 budget provides stability for the majority of state government while providing increases for targeted priorities. This approach holds true for primary and secondary education as well.  While school districts were provided a modest increase of approximately 1% for base cost foundation aid, additional resources were made available for new, target Student Wellness and Success initiatives</w:t>
      </w:r>
      <w:r w:rsidR="00B50E8A" w:rsidRPr="002679E5">
        <w:rPr>
          <w:rFonts w:ascii="Times New Roman" w:eastAsia="Times New Roman" w:hAnsi="Times New Roman" w:cs="Times New Roman"/>
          <w:sz w:val="24"/>
          <w:szCs w:val="24"/>
        </w:rPr>
        <w:t xml:space="preserve"> to the tune of $250 million in FY 2020 and $300 million in FY 2021</w:t>
      </w:r>
      <w:r w:rsidR="00371ADB" w:rsidRPr="002679E5">
        <w:rPr>
          <w:rFonts w:ascii="Times New Roman" w:eastAsia="Times New Roman" w:hAnsi="Times New Roman" w:cs="Times New Roman"/>
          <w:sz w:val="24"/>
          <w:szCs w:val="24"/>
        </w:rPr>
        <w:t>.</w:t>
      </w:r>
      <w:r w:rsidR="00DB00DC" w:rsidRPr="002679E5">
        <w:rPr>
          <w:rFonts w:ascii="Times New Roman" w:eastAsia="Times New Roman" w:hAnsi="Times New Roman" w:cs="Times New Roman"/>
          <w:sz w:val="24"/>
          <w:szCs w:val="24"/>
        </w:rPr>
        <w:t xml:space="preserve">  The governor also ma</w:t>
      </w:r>
      <w:r w:rsidR="00B50E8A" w:rsidRPr="002679E5">
        <w:rPr>
          <w:rFonts w:ascii="Times New Roman" w:eastAsia="Times New Roman" w:hAnsi="Times New Roman" w:cs="Times New Roman"/>
          <w:sz w:val="24"/>
          <w:szCs w:val="24"/>
        </w:rPr>
        <w:t>de</w:t>
      </w:r>
      <w:r w:rsidR="00DB00DC" w:rsidRPr="002679E5">
        <w:rPr>
          <w:rFonts w:ascii="Times New Roman" w:eastAsia="Times New Roman" w:hAnsi="Times New Roman" w:cs="Times New Roman"/>
          <w:sz w:val="24"/>
          <w:szCs w:val="24"/>
        </w:rPr>
        <w:t xml:space="preserve"> key investments in early childhood, early intervention and home visits</w:t>
      </w:r>
      <w:r w:rsidR="002679E5">
        <w:rPr>
          <w:rFonts w:ascii="Times New Roman" w:eastAsia="Times New Roman" w:hAnsi="Times New Roman" w:cs="Times New Roman"/>
          <w:sz w:val="24"/>
          <w:szCs w:val="24"/>
        </w:rPr>
        <w:t>,</w:t>
      </w:r>
      <w:r w:rsidR="00DB00DC" w:rsidRPr="002679E5">
        <w:rPr>
          <w:rFonts w:ascii="Times New Roman" w:eastAsia="Times New Roman" w:hAnsi="Times New Roman" w:cs="Times New Roman"/>
          <w:sz w:val="24"/>
          <w:szCs w:val="24"/>
        </w:rPr>
        <w:t xml:space="preserve"> and </w:t>
      </w:r>
      <w:r w:rsidR="00DB00DC" w:rsidRPr="002679E5">
        <w:rPr>
          <w:rFonts w:ascii="Times New Roman" w:hAnsi="Times New Roman" w:cs="Times New Roman"/>
          <w:sz w:val="24"/>
          <w:szCs w:val="24"/>
        </w:rPr>
        <w:t>invested in effective workforce development and job readiness related programs</w:t>
      </w:r>
      <w:r w:rsidR="00B50E8A" w:rsidRPr="002679E5">
        <w:rPr>
          <w:rFonts w:ascii="Times New Roman" w:hAnsi="Times New Roman" w:cs="Times New Roman"/>
          <w:sz w:val="24"/>
          <w:szCs w:val="24"/>
        </w:rPr>
        <w:t>.  Both chambers of the General Assembly have worked to keep the Governor’s key policy proposals largely intact.</w:t>
      </w:r>
    </w:p>
    <w:p w14:paraId="11A50337" w14:textId="02790AEF" w:rsidR="00B50E8A" w:rsidRPr="002679E5" w:rsidRDefault="00B50E8A" w:rsidP="00DB00DC">
      <w:pPr>
        <w:spacing w:after="0" w:line="240" w:lineRule="auto"/>
        <w:rPr>
          <w:rFonts w:ascii="Times New Roman" w:hAnsi="Times New Roman" w:cs="Times New Roman"/>
          <w:sz w:val="24"/>
          <w:szCs w:val="24"/>
        </w:rPr>
      </w:pPr>
    </w:p>
    <w:p w14:paraId="78A51DE8" w14:textId="5A8627D4" w:rsidR="00B50E8A" w:rsidRPr="002679E5" w:rsidRDefault="00B50E8A" w:rsidP="00DB00DC">
      <w:pPr>
        <w:spacing w:after="0" w:line="240" w:lineRule="auto"/>
        <w:rPr>
          <w:rFonts w:ascii="Times New Roman" w:hAnsi="Times New Roman" w:cs="Times New Roman"/>
          <w:bCs/>
          <w:sz w:val="24"/>
          <w:szCs w:val="24"/>
        </w:rPr>
      </w:pPr>
      <w:r w:rsidRPr="002679E5">
        <w:rPr>
          <w:rFonts w:ascii="Times New Roman" w:hAnsi="Times New Roman" w:cs="Times New Roman"/>
          <w:sz w:val="24"/>
          <w:szCs w:val="24"/>
        </w:rPr>
        <w:t>The Ohio House built upon this approach by finding a way to both cut taxes and increase spending including an additional investment of $25 million (</w:t>
      </w:r>
      <w:r w:rsidRPr="002679E5">
        <w:rPr>
          <w:rFonts w:ascii="Times New Roman" w:hAnsi="Times New Roman" w:cs="Times New Roman"/>
          <w:bCs/>
          <w:sz w:val="24"/>
          <w:szCs w:val="24"/>
        </w:rPr>
        <w:t xml:space="preserve">$275 million) in FY 2020 and $100 million ($400 million) </w:t>
      </w:r>
      <w:r w:rsidR="00530453" w:rsidRPr="002679E5">
        <w:rPr>
          <w:rFonts w:ascii="Times New Roman" w:hAnsi="Times New Roman" w:cs="Times New Roman"/>
          <w:bCs/>
          <w:sz w:val="24"/>
          <w:szCs w:val="24"/>
        </w:rPr>
        <w:t>in FY</w:t>
      </w:r>
      <w:r w:rsidRPr="002679E5">
        <w:rPr>
          <w:rFonts w:ascii="Times New Roman" w:hAnsi="Times New Roman" w:cs="Times New Roman"/>
          <w:bCs/>
          <w:sz w:val="24"/>
          <w:szCs w:val="24"/>
        </w:rPr>
        <w:t xml:space="preserve"> 2021 for student wellness and success.</w:t>
      </w:r>
    </w:p>
    <w:p w14:paraId="3F5D8A57" w14:textId="02910F0A" w:rsidR="00B50E8A" w:rsidRPr="002679E5" w:rsidRDefault="00B50E8A" w:rsidP="00DB00DC">
      <w:pPr>
        <w:spacing w:after="0" w:line="240" w:lineRule="auto"/>
        <w:rPr>
          <w:rFonts w:ascii="Times New Roman" w:hAnsi="Times New Roman" w:cs="Times New Roman"/>
          <w:bCs/>
          <w:sz w:val="24"/>
          <w:szCs w:val="24"/>
        </w:rPr>
      </w:pPr>
    </w:p>
    <w:p w14:paraId="11FAA789" w14:textId="6685D470" w:rsidR="00B50E8A" w:rsidRPr="002679E5" w:rsidRDefault="00B50E8A" w:rsidP="00DB00DC">
      <w:pPr>
        <w:spacing w:after="0" w:line="240" w:lineRule="auto"/>
        <w:rPr>
          <w:rFonts w:ascii="Times New Roman" w:eastAsia="Times New Roman" w:hAnsi="Times New Roman" w:cs="Times New Roman"/>
          <w:sz w:val="24"/>
          <w:szCs w:val="24"/>
        </w:rPr>
      </w:pPr>
      <w:r w:rsidRPr="002679E5">
        <w:rPr>
          <w:rFonts w:ascii="Times New Roman" w:hAnsi="Times New Roman" w:cs="Times New Roman"/>
          <w:sz w:val="24"/>
          <w:szCs w:val="24"/>
        </w:rPr>
        <w:t xml:space="preserve">As was suspected the Republican-controlled Ohio Senate </w:t>
      </w:r>
      <w:r w:rsidR="002679E5" w:rsidRPr="002679E5">
        <w:rPr>
          <w:rFonts w:ascii="Times New Roman" w:hAnsi="Times New Roman" w:cs="Times New Roman"/>
          <w:sz w:val="24"/>
          <w:szCs w:val="24"/>
        </w:rPr>
        <w:t>took</w:t>
      </w:r>
      <w:r w:rsidRPr="002679E5">
        <w:rPr>
          <w:rFonts w:ascii="Times New Roman" w:hAnsi="Times New Roman" w:cs="Times New Roman"/>
          <w:sz w:val="24"/>
          <w:szCs w:val="24"/>
        </w:rPr>
        <w:t xml:space="preserve"> a more conservative view of the budget and push</w:t>
      </w:r>
      <w:r w:rsidR="002679E5" w:rsidRPr="002679E5">
        <w:rPr>
          <w:rFonts w:ascii="Times New Roman" w:hAnsi="Times New Roman" w:cs="Times New Roman"/>
          <w:sz w:val="24"/>
          <w:szCs w:val="24"/>
        </w:rPr>
        <w:t>ed</w:t>
      </w:r>
      <w:r w:rsidRPr="002679E5">
        <w:rPr>
          <w:rFonts w:ascii="Times New Roman" w:hAnsi="Times New Roman" w:cs="Times New Roman"/>
          <w:sz w:val="24"/>
          <w:szCs w:val="24"/>
        </w:rPr>
        <w:t xml:space="preserve"> back somewhat on the tax front and on the size, if not the shape, of </w:t>
      </w:r>
      <w:r w:rsidR="002679E5" w:rsidRPr="002679E5">
        <w:rPr>
          <w:rFonts w:ascii="Times New Roman" w:hAnsi="Times New Roman" w:cs="Times New Roman"/>
          <w:sz w:val="24"/>
          <w:szCs w:val="24"/>
        </w:rPr>
        <w:t xml:space="preserve">the House passed budget related to education issues and </w:t>
      </w:r>
      <w:r w:rsidRPr="002679E5">
        <w:rPr>
          <w:rFonts w:ascii="Times New Roman" w:hAnsi="Times New Roman" w:cs="Times New Roman"/>
          <w:sz w:val="24"/>
          <w:szCs w:val="24"/>
        </w:rPr>
        <w:t xml:space="preserve">DeWine’s children’s budget agenda.  </w:t>
      </w:r>
      <w:r w:rsidR="002679E5" w:rsidRPr="002679E5">
        <w:rPr>
          <w:rFonts w:ascii="Times New Roman" w:hAnsi="Times New Roman" w:cs="Times New Roman"/>
          <w:sz w:val="24"/>
          <w:szCs w:val="24"/>
        </w:rPr>
        <w:t xml:space="preserve">In the end, the Senate proposed funding levels </w:t>
      </w:r>
      <w:r w:rsidR="002679E5">
        <w:rPr>
          <w:rFonts w:ascii="Times New Roman" w:hAnsi="Times New Roman" w:cs="Times New Roman"/>
          <w:sz w:val="24"/>
          <w:szCs w:val="24"/>
        </w:rPr>
        <w:t xml:space="preserve">are </w:t>
      </w:r>
      <w:r w:rsidR="002679E5" w:rsidRPr="002679E5">
        <w:rPr>
          <w:rFonts w:ascii="Times New Roman" w:hAnsi="Times New Roman" w:cs="Times New Roman"/>
          <w:sz w:val="24"/>
          <w:szCs w:val="24"/>
        </w:rPr>
        <w:t>consistent with those originally proposed by the administration.</w:t>
      </w:r>
    </w:p>
    <w:p w14:paraId="5735F8BB" w14:textId="3733AFAB" w:rsidR="00DB00DC" w:rsidRDefault="00DB00DC" w:rsidP="001244A8">
      <w:pPr>
        <w:spacing w:after="0" w:line="240" w:lineRule="auto"/>
        <w:rPr>
          <w:rFonts w:ascii="Times New Roman" w:eastAsia="Times New Roman" w:hAnsi="Times New Roman" w:cs="Times New Roman"/>
          <w:sz w:val="24"/>
          <w:szCs w:val="24"/>
        </w:rPr>
      </w:pPr>
    </w:p>
    <w:p w14:paraId="02A35A0D" w14:textId="77777777" w:rsidR="00160E4D" w:rsidRDefault="002679E5" w:rsidP="001244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comparison purposes, the current estimated GRF education funding for FY 2019 is $8.12 Billion. The House passed budget included $8.18 Billion in FY 2020 and $8.14 in FY 2021.  The Senate passed budget, meanwhile, includes GRF funding of $8.19 Billion in FY 2020 ($8.1 million more than the House) and $8.08 Billion in FY 2021 ($59.3 million less than the House).</w:t>
      </w:r>
      <w:r w:rsidR="00D73C71">
        <w:rPr>
          <w:rFonts w:ascii="Times New Roman" w:eastAsia="Times New Roman" w:hAnsi="Times New Roman" w:cs="Times New Roman"/>
          <w:sz w:val="24"/>
          <w:szCs w:val="24"/>
        </w:rPr>
        <w:t xml:space="preserve">  Overall funding for the Department of Education, all funds, is similar under both House and Senate budget proposals separated by only .02% in FY 2020 and .01% in FY 2021.  All funds estimates for FY 2019 are $11.33 Billion.  Under the House passed budget, funding is $11.72 Billion in FY 2020 and $11.88 Billion in FY 2021. The Senate passed budget includes all funds totals of $11.72 Billion in FY 2020 and $11.88 Billion in FY 2021.  </w:t>
      </w:r>
    </w:p>
    <w:p w14:paraId="6C965B85" w14:textId="77777777" w:rsidR="00160E4D" w:rsidRDefault="00160E4D" w:rsidP="001244A8">
      <w:pPr>
        <w:spacing w:after="0" w:line="240" w:lineRule="auto"/>
        <w:rPr>
          <w:rFonts w:ascii="Times New Roman" w:eastAsia="Times New Roman" w:hAnsi="Times New Roman" w:cs="Times New Roman"/>
          <w:sz w:val="24"/>
          <w:szCs w:val="24"/>
        </w:rPr>
      </w:pPr>
    </w:p>
    <w:p w14:paraId="54E70AF0" w14:textId="5F41F02E" w:rsidR="002679E5" w:rsidRDefault="00D73C71" w:rsidP="001244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r w:rsidR="00160E4D">
        <w:rPr>
          <w:rFonts w:ascii="Times New Roman" w:eastAsia="Times New Roman" w:hAnsi="Times New Roman" w:cs="Times New Roman"/>
          <w:sz w:val="24"/>
          <w:szCs w:val="24"/>
        </w:rPr>
        <w:t xml:space="preserve">education-only </w:t>
      </w:r>
      <w:r>
        <w:rPr>
          <w:rFonts w:ascii="Times New Roman" w:eastAsia="Times New Roman" w:hAnsi="Times New Roman" w:cs="Times New Roman"/>
          <w:sz w:val="24"/>
          <w:szCs w:val="24"/>
        </w:rPr>
        <w:t>numbers compare to all fund totals for all of state government spending of $66.84 Billion in FY 2019</w:t>
      </w:r>
      <w:r w:rsidR="00160E4D">
        <w:rPr>
          <w:rFonts w:ascii="Times New Roman" w:eastAsia="Times New Roman" w:hAnsi="Times New Roman" w:cs="Times New Roman"/>
          <w:sz w:val="24"/>
          <w:szCs w:val="24"/>
        </w:rPr>
        <w:t>.  And, $69.82 Billion in FY 2020 and $71.70 Billion in FY 2021 under the House passed plan, and $69.87 Billion in FY 2020 and $71.97 Billion in FY 2021 under the Senate version.</w:t>
      </w:r>
    </w:p>
    <w:p w14:paraId="7FA80014" w14:textId="6B180AA1" w:rsidR="00160E4D" w:rsidRDefault="00160E4D" w:rsidP="001244A8">
      <w:pPr>
        <w:spacing w:after="0" w:line="240" w:lineRule="auto"/>
        <w:rPr>
          <w:rFonts w:ascii="Times New Roman" w:eastAsia="Times New Roman" w:hAnsi="Times New Roman" w:cs="Times New Roman"/>
          <w:sz w:val="24"/>
          <w:szCs w:val="24"/>
        </w:rPr>
      </w:pPr>
    </w:p>
    <w:p w14:paraId="6C13601B" w14:textId="77777777" w:rsidR="00315D05" w:rsidRPr="00DF4546" w:rsidRDefault="00315D05" w:rsidP="00315D05">
      <w:pPr>
        <w:rPr>
          <w:rFonts w:ascii="Times New Roman" w:hAnsi="Times New Roman" w:cs="Times New Roman"/>
          <w:b/>
          <w:sz w:val="24"/>
          <w:szCs w:val="24"/>
        </w:rPr>
      </w:pPr>
      <w:r w:rsidRPr="00315D05">
        <w:rPr>
          <w:rFonts w:ascii="Times New Roman" w:eastAsia="Times New Roman" w:hAnsi="Times New Roman" w:cs="Times New Roman"/>
          <w:b/>
          <w:bCs/>
          <w:i/>
          <w:iCs/>
          <w:sz w:val="24"/>
          <w:szCs w:val="24"/>
        </w:rPr>
        <w:t>ESC provisions</w:t>
      </w:r>
      <w:r>
        <w:rPr>
          <w:rFonts w:ascii="Times New Roman" w:eastAsia="Times New Roman" w:hAnsi="Times New Roman" w:cs="Times New Roman"/>
          <w:sz w:val="24"/>
          <w:szCs w:val="24"/>
        </w:rPr>
        <w:t xml:space="preserve">.  </w:t>
      </w:r>
      <w:r w:rsidRPr="00DF4546">
        <w:rPr>
          <w:rFonts w:ascii="Times New Roman" w:hAnsi="Times New Roman" w:cs="Times New Roman"/>
          <w:sz w:val="24"/>
          <w:szCs w:val="24"/>
        </w:rPr>
        <w:t>ESC-related appropriations vary from the direct per pupil subsidy to new targeted opportunities as outlined below:</w:t>
      </w:r>
    </w:p>
    <w:p w14:paraId="3E5AD456" w14:textId="77777777" w:rsidR="00315D05" w:rsidRPr="00DF4546" w:rsidRDefault="00315D05" w:rsidP="00315D05">
      <w:pPr>
        <w:pStyle w:val="ListParagraph"/>
        <w:numPr>
          <w:ilvl w:val="0"/>
          <w:numId w:val="9"/>
        </w:numPr>
        <w:spacing w:after="0" w:line="240" w:lineRule="auto"/>
        <w:rPr>
          <w:rFonts w:ascii="Times New Roman" w:hAnsi="Times New Roman" w:cs="Times New Roman"/>
          <w:b/>
          <w:sz w:val="24"/>
          <w:szCs w:val="24"/>
        </w:rPr>
      </w:pPr>
      <w:r w:rsidRPr="00DF4546">
        <w:rPr>
          <w:rFonts w:ascii="Times New Roman" w:hAnsi="Times New Roman" w:cs="Times New Roman"/>
          <w:sz w:val="24"/>
          <w:szCs w:val="24"/>
        </w:rPr>
        <w:t>The ESC operating subsidy is flat funded at $40 Million/Year or $26/student for High Performing ESC; $24 for other ESCs.</w:t>
      </w:r>
    </w:p>
    <w:p w14:paraId="3D90A9B4" w14:textId="77777777" w:rsidR="00315D05" w:rsidRPr="00DF4546" w:rsidRDefault="00315D05" w:rsidP="00315D05">
      <w:pPr>
        <w:pStyle w:val="ListParagraph"/>
        <w:numPr>
          <w:ilvl w:val="0"/>
          <w:numId w:val="9"/>
        </w:numPr>
        <w:spacing w:after="0" w:line="240" w:lineRule="auto"/>
        <w:rPr>
          <w:rFonts w:ascii="Times New Roman" w:hAnsi="Times New Roman" w:cs="Times New Roman"/>
          <w:sz w:val="24"/>
          <w:szCs w:val="24"/>
        </w:rPr>
      </w:pPr>
      <w:r w:rsidRPr="00DF4546">
        <w:rPr>
          <w:rFonts w:ascii="Times New Roman" w:hAnsi="Times New Roman" w:cs="Times New Roman"/>
          <w:sz w:val="24"/>
          <w:szCs w:val="24"/>
        </w:rPr>
        <w:t>Flat funding of $3.8 Million Funding for Gifted Education to ESCs</w:t>
      </w:r>
    </w:p>
    <w:p w14:paraId="71CB3CA6" w14:textId="77777777" w:rsidR="00315D05" w:rsidRPr="00DF4546" w:rsidRDefault="00315D05" w:rsidP="00315D05">
      <w:pPr>
        <w:pStyle w:val="ListParagraph"/>
        <w:numPr>
          <w:ilvl w:val="0"/>
          <w:numId w:val="9"/>
        </w:numPr>
        <w:spacing w:after="0" w:line="240" w:lineRule="auto"/>
        <w:rPr>
          <w:rFonts w:ascii="Times New Roman" w:hAnsi="Times New Roman" w:cs="Times New Roman"/>
          <w:sz w:val="24"/>
          <w:szCs w:val="24"/>
        </w:rPr>
      </w:pPr>
      <w:r w:rsidRPr="00DF4546">
        <w:rPr>
          <w:rFonts w:ascii="Times New Roman" w:hAnsi="Times New Roman" w:cs="Times New Roman"/>
          <w:sz w:val="24"/>
          <w:szCs w:val="24"/>
        </w:rPr>
        <w:t>New funding of $1 Million/Year Drug Abuse Prevention Education</w:t>
      </w:r>
    </w:p>
    <w:p w14:paraId="1CE2997A" w14:textId="77777777" w:rsidR="00315D05" w:rsidRPr="00DF4546" w:rsidRDefault="00315D05" w:rsidP="00315D05">
      <w:pPr>
        <w:pStyle w:val="ListParagraph"/>
        <w:numPr>
          <w:ilvl w:val="0"/>
          <w:numId w:val="9"/>
        </w:numPr>
        <w:spacing w:after="0" w:line="240" w:lineRule="auto"/>
        <w:rPr>
          <w:rFonts w:ascii="Times New Roman" w:hAnsi="Times New Roman" w:cs="Times New Roman"/>
          <w:sz w:val="24"/>
          <w:szCs w:val="24"/>
        </w:rPr>
      </w:pPr>
      <w:r w:rsidRPr="00DF4546">
        <w:rPr>
          <w:rFonts w:ascii="Times New Roman" w:hAnsi="Times New Roman" w:cs="Times New Roman"/>
          <w:sz w:val="24"/>
          <w:szCs w:val="24"/>
        </w:rPr>
        <w:t>$2 Million/Year School Climate Grants to district to contract with ESCs</w:t>
      </w:r>
    </w:p>
    <w:p w14:paraId="3C26A9D3" w14:textId="77777777" w:rsidR="00315D05" w:rsidRPr="00DF4546" w:rsidRDefault="00315D05" w:rsidP="00315D05">
      <w:pPr>
        <w:pStyle w:val="ListParagraph"/>
        <w:numPr>
          <w:ilvl w:val="0"/>
          <w:numId w:val="9"/>
        </w:numPr>
        <w:spacing w:after="0" w:line="240" w:lineRule="auto"/>
        <w:rPr>
          <w:rFonts w:ascii="Times New Roman" w:hAnsi="Times New Roman" w:cs="Times New Roman"/>
          <w:sz w:val="24"/>
          <w:szCs w:val="24"/>
        </w:rPr>
      </w:pPr>
      <w:r w:rsidRPr="00DF4546">
        <w:rPr>
          <w:rFonts w:ascii="Times New Roman" w:hAnsi="Times New Roman" w:cs="Times New Roman"/>
          <w:sz w:val="24"/>
          <w:szCs w:val="24"/>
        </w:rPr>
        <w:t>$1.35 Million/Year for Literacy Improvement to SSTs</w:t>
      </w:r>
    </w:p>
    <w:p w14:paraId="324DC896" w14:textId="77777777" w:rsidR="00315D05" w:rsidRPr="00DF4546" w:rsidRDefault="00315D05" w:rsidP="00315D05">
      <w:pPr>
        <w:pStyle w:val="ListParagraph"/>
        <w:numPr>
          <w:ilvl w:val="0"/>
          <w:numId w:val="9"/>
        </w:numPr>
        <w:spacing w:after="0" w:line="240" w:lineRule="auto"/>
        <w:rPr>
          <w:rFonts w:ascii="Times New Roman" w:hAnsi="Times New Roman" w:cs="Times New Roman"/>
          <w:sz w:val="24"/>
          <w:szCs w:val="24"/>
        </w:rPr>
      </w:pPr>
      <w:r w:rsidRPr="00DF4546">
        <w:rPr>
          <w:rFonts w:ascii="Times New Roman" w:hAnsi="Times New Roman" w:cs="Times New Roman"/>
          <w:sz w:val="24"/>
          <w:szCs w:val="24"/>
        </w:rPr>
        <w:t>$3.5 Million/Year School Improvement – flat funded.</w:t>
      </w:r>
    </w:p>
    <w:p w14:paraId="6D150086" w14:textId="77777777" w:rsidR="00315D05" w:rsidRPr="00DF4546" w:rsidRDefault="00315D05" w:rsidP="00315D05">
      <w:pPr>
        <w:rPr>
          <w:rFonts w:ascii="Times New Roman" w:hAnsi="Times New Roman" w:cs="Times New Roman"/>
          <w:b/>
          <w:sz w:val="24"/>
          <w:szCs w:val="24"/>
        </w:rPr>
      </w:pPr>
      <w:r w:rsidRPr="00DF4546">
        <w:rPr>
          <w:rFonts w:ascii="Times New Roman" w:hAnsi="Times New Roman" w:cs="Times New Roman"/>
          <w:b/>
          <w:sz w:val="24"/>
          <w:szCs w:val="24"/>
        </w:rPr>
        <w:t xml:space="preserve"> </w:t>
      </w:r>
    </w:p>
    <w:p w14:paraId="59C2134F" w14:textId="77777777" w:rsidR="00315D05" w:rsidRPr="00DF4546" w:rsidRDefault="00315D05" w:rsidP="00315D05">
      <w:pPr>
        <w:rPr>
          <w:rFonts w:ascii="Times New Roman" w:hAnsi="Times New Roman" w:cs="Times New Roman"/>
          <w:b/>
          <w:sz w:val="24"/>
          <w:szCs w:val="24"/>
        </w:rPr>
      </w:pPr>
      <w:r w:rsidRPr="00DF4546">
        <w:rPr>
          <w:rFonts w:ascii="Times New Roman" w:hAnsi="Times New Roman" w:cs="Times New Roman"/>
          <w:bCs/>
          <w:sz w:val="24"/>
          <w:szCs w:val="24"/>
        </w:rPr>
        <w:t>There are also several temporary law changes related to ESCs including ODE use of ESCs and accountability</w:t>
      </w:r>
      <w:r w:rsidRPr="00DF4546">
        <w:rPr>
          <w:rFonts w:ascii="Times New Roman" w:hAnsi="Times New Roman" w:cs="Times New Roman"/>
          <w:b/>
          <w:sz w:val="24"/>
          <w:szCs w:val="24"/>
        </w:rPr>
        <w:t>:</w:t>
      </w:r>
    </w:p>
    <w:p w14:paraId="056B96A5" w14:textId="77777777" w:rsidR="00315D05" w:rsidRPr="00DF4546" w:rsidRDefault="00315D05" w:rsidP="00315D05">
      <w:pPr>
        <w:pStyle w:val="ListParagraph"/>
        <w:numPr>
          <w:ilvl w:val="1"/>
          <w:numId w:val="11"/>
        </w:numPr>
        <w:spacing w:after="0" w:line="240" w:lineRule="auto"/>
        <w:rPr>
          <w:rFonts w:ascii="Times New Roman" w:hAnsi="Times New Roman" w:cs="Times New Roman"/>
          <w:b/>
          <w:sz w:val="24"/>
          <w:szCs w:val="24"/>
        </w:rPr>
      </w:pPr>
      <w:r w:rsidRPr="00DF4546">
        <w:rPr>
          <w:rFonts w:ascii="Times New Roman" w:hAnsi="Times New Roman" w:cs="Times New Roman"/>
          <w:sz w:val="24"/>
          <w:szCs w:val="24"/>
        </w:rPr>
        <w:t xml:space="preserve">Requires, rather than permits as under the substitute bill, the Department of Education (ODE) to use a portion of GRF appropriation item 200439, </w:t>
      </w:r>
      <w:r w:rsidRPr="00DF4546">
        <w:rPr>
          <w:rFonts w:ascii="Times New Roman" w:hAnsi="Times New Roman" w:cs="Times New Roman"/>
          <w:b/>
          <w:sz w:val="24"/>
          <w:szCs w:val="24"/>
          <w:u w:val="single"/>
        </w:rPr>
        <w:t>Accountability/Report Cards</w:t>
      </w:r>
      <w:r w:rsidRPr="00DF4546">
        <w:rPr>
          <w:rFonts w:ascii="Times New Roman" w:hAnsi="Times New Roman" w:cs="Times New Roman"/>
          <w:sz w:val="24"/>
          <w:szCs w:val="24"/>
        </w:rPr>
        <w:t>, in each fiscal year to train district and regional specialists and district educators in the use of the value-added progress dimension and in the use of data as it relates to improving student achievement.</w:t>
      </w:r>
    </w:p>
    <w:p w14:paraId="0B7EDC5C" w14:textId="77777777" w:rsidR="00315D05" w:rsidRPr="00DF4546" w:rsidRDefault="00315D05" w:rsidP="00315D05">
      <w:pPr>
        <w:pStyle w:val="ListParagraph"/>
        <w:numPr>
          <w:ilvl w:val="1"/>
          <w:numId w:val="11"/>
        </w:numPr>
        <w:spacing w:after="0" w:line="240" w:lineRule="auto"/>
        <w:rPr>
          <w:rFonts w:ascii="Times New Roman" w:hAnsi="Times New Roman" w:cs="Times New Roman"/>
          <w:b/>
          <w:sz w:val="24"/>
          <w:szCs w:val="24"/>
        </w:rPr>
      </w:pPr>
      <w:r w:rsidRPr="00DF4546">
        <w:rPr>
          <w:rFonts w:ascii="Times New Roman" w:hAnsi="Times New Roman" w:cs="Times New Roman"/>
          <w:sz w:val="24"/>
          <w:szCs w:val="24"/>
        </w:rPr>
        <w:t xml:space="preserve">Requires ODE to provide a portion of the funds allocated from GRF appropriation item 200448, </w:t>
      </w:r>
      <w:r w:rsidRPr="00DF4546">
        <w:rPr>
          <w:rFonts w:ascii="Times New Roman" w:hAnsi="Times New Roman" w:cs="Times New Roman"/>
          <w:b/>
          <w:sz w:val="24"/>
          <w:szCs w:val="24"/>
          <w:u w:val="single"/>
        </w:rPr>
        <w:t>Educator Preparation</w:t>
      </w:r>
      <w:r w:rsidRPr="00DF4546">
        <w:rPr>
          <w:rFonts w:ascii="Times New Roman" w:hAnsi="Times New Roman" w:cs="Times New Roman"/>
          <w:sz w:val="24"/>
          <w:szCs w:val="24"/>
        </w:rPr>
        <w:t>, for implementation of teacher and principal evaluation systems and teacher value-added reports to educational service centers (ESCs) to develop and deliver professional development programs.</w:t>
      </w:r>
    </w:p>
    <w:p w14:paraId="1CD8738A" w14:textId="77777777" w:rsidR="00315D05" w:rsidRPr="00DF4546" w:rsidRDefault="00315D05" w:rsidP="00315D05">
      <w:pPr>
        <w:pStyle w:val="ListParagraph"/>
        <w:numPr>
          <w:ilvl w:val="1"/>
          <w:numId w:val="11"/>
        </w:numPr>
        <w:spacing w:after="0" w:line="240" w:lineRule="auto"/>
        <w:rPr>
          <w:rFonts w:ascii="Times New Roman" w:hAnsi="Times New Roman" w:cs="Times New Roman"/>
          <w:b/>
          <w:sz w:val="24"/>
          <w:szCs w:val="24"/>
        </w:rPr>
      </w:pPr>
      <w:r w:rsidRPr="00DF4546">
        <w:rPr>
          <w:rFonts w:ascii="Times New Roman" w:hAnsi="Times New Roman" w:cs="Times New Roman"/>
          <w:sz w:val="24"/>
          <w:szCs w:val="24"/>
        </w:rPr>
        <w:t xml:space="preserve">Specifies that ODE must use a portion of the funds appropriated in GRF appropriation item 200427, </w:t>
      </w:r>
      <w:r w:rsidRPr="00DF4546">
        <w:rPr>
          <w:rFonts w:ascii="Times New Roman" w:hAnsi="Times New Roman" w:cs="Times New Roman"/>
          <w:b/>
          <w:sz w:val="24"/>
          <w:szCs w:val="24"/>
          <w:u w:val="single"/>
        </w:rPr>
        <w:t>Academic Standards</w:t>
      </w:r>
      <w:r w:rsidRPr="00DF4546">
        <w:rPr>
          <w:rFonts w:ascii="Times New Roman" w:hAnsi="Times New Roman" w:cs="Times New Roman"/>
          <w:sz w:val="24"/>
          <w:szCs w:val="24"/>
        </w:rPr>
        <w:t>, in partnership with ESCs, rather than utilize ESCs as in the substitute bill, to develop and deliver professional development programs.</w:t>
      </w:r>
    </w:p>
    <w:p w14:paraId="36D53EDD" w14:textId="77777777" w:rsidR="00315D05" w:rsidRPr="00DF4546" w:rsidRDefault="00315D05" w:rsidP="00315D05">
      <w:pPr>
        <w:pStyle w:val="ListParagraph"/>
        <w:numPr>
          <w:ilvl w:val="1"/>
          <w:numId w:val="11"/>
        </w:numPr>
        <w:spacing w:after="0" w:line="240" w:lineRule="auto"/>
        <w:rPr>
          <w:rFonts w:ascii="Times New Roman" w:hAnsi="Times New Roman" w:cs="Times New Roman"/>
          <w:b/>
          <w:sz w:val="24"/>
          <w:szCs w:val="24"/>
        </w:rPr>
      </w:pPr>
      <w:r w:rsidRPr="00DF4546">
        <w:rPr>
          <w:rFonts w:ascii="Times New Roman" w:hAnsi="Times New Roman" w:cs="Times New Roman"/>
          <w:sz w:val="24"/>
          <w:szCs w:val="24"/>
        </w:rPr>
        <w:t xml:space="preserve">Specifies that funds distributed to ESCs from GRF appropriation item 200576, </w:t>
      </w:r>
      <w:r w:rsidRPr="00DF4546">
        <w:rPr>
          <w:rFonts w:ascii="Times New Roman" w:hAnsi="Times New Roman" w:cs="Times New Roman"/>
          <w:b/>
          <w:sz w:val="24"/>
          <w:szCs w:val="24"/>
          <w:u w:val="single"/>
        </w:rPr>
        <w:t>Literacy Improvemen</w:t>
      </w:r>
      <w:r w:rsidRPr="00DF4546">
        <w:rPr>
          <w:rFonts w:ascii="Times New Roman" w:hAnsi="Times New Roman" w:cs="Times New Roman"/>
          <w:sz w:val="24"/>
          <w:szCs w:val="24"/>
        </w:rPr>
        <w:t xml:space="preserve">t, for support of regional literacy professional development teams and from GRF appropriation item 200550, Foundation Funding, for </w:t>
      </w:r>
      <w:r w:rsidRPr="00DF4546">
        <w:rPr>
          <w:rFonts w:ascii="Times New Roman" w:hAnsi="Times New Roman" w:cs="Times New Roman"/>
          <w:b/>
          <w:sz w:val="24"/>
          <w:szCs w:val="24"/>
          <w:u w:val="single"/>
        </w:rPr>
        <w:t>school improvement initiatives and technical assistance</w:t>
      </w:r>
      <w:r w:rsidRPr="00DF4546">
        <w:rPr>
          <w:rFonts w:ascii="Times New Roman" w:hAnsi="Times New Roman" w:cs="Times New Roman"/>
          <w:sz w:val="24"/>
          <w:szCs w:val="24"/>
        </w:rPr>
        <w:t xml:space="preserve">, be done so consistent with </w:t>
      </w:r>
      <w:r w:rsidRPr="00DF4546">
        <w:rPr>
          <w:rFonts w:ascii="Times New Roman" w:hAnsi="Times New Roman" w:cs="Times New Roman"/>
          <w:sz w:val="24"/>
          <w:szCs w:val="24"/>
        </w:rPr>
        <w:lastRenderedPageBreak/>
        <w:t>R.C. 3312.01, which under continuing law establishes the educational regional delivery system and describes the services ESCs must or may provide.</w:t>
      </w:r>
    </w:p>
    <w:p w14:paraId="2DD973EF" w14:textId="77777777" w:rsidR="00315D05" w:rsidRPr="00DF4546" w:rsidRDefault="00315D05" w:rsidP="00315D05">
      <w:pPr>
        <w:pStyle w:val="ListParagraph"/>
        <w:numPr>
          <w:ilvl w:val="1"/>
          <w:numId w:val="11"/>
        </w:numPr>
        <w:spacing w:after="0" w:line="240" w:lineRule="auto"/>
        <w:rPr>
          <w:rFonts w:ascii="Times New Roman" w:hAnsi="Times New Roman" w:cs="Times New Roman"/>
          <w:b/>
          <w:sz w:val="24"/>
          <w:szCs w:val="24"/>
        </w:rPr>
      </w:pPr>
      <w:r w:rsidRPr="00DF4546">
        <w:rPr>
          <w:rFonts w:ascii="Times New Roman" w:hAnsi="Times New Roman" w:cs="Times New Roman"/>
          <w:sz w:val="24"/>
          <w:szCs w:val="24"/>
        </w:rPr>
        <w:t>Requires ODE to submit an annual report to the General Assembly describing the manner in which the Department partnered with ESCs in the delivery of certain specified services for which state funding was provided to ESCs.</w:t>
      </w:r>
    </w:p>
    <w:p w14:paraId="0A4174E4" w14:textId="77777777" w:rsidR="00315D05" w:rsidRPr="00DF4546" w:rsidRDefault="00315D05" w:rsidP="00315D05">
      <w:pPr>
        <w:rPr>
          <w:rFonts w:ascii="Times New Roman" w:hAnsi="Times New Roman" w:cs="Times New Roman"/>
          <w:b/>
          <w:sz w:val="24"/>
          <w:szCs w:val="24"/>
        </w:rPr>
      </w:pPr>
    </w:p>
    <w:p w14:paraId="0C2DF2DF" w14:textId="77777777" w:rsidR="00315D05" w:rsidRPr="00DF4546" w:rsidRDefault="00315D05" w:rsidP="00315D05">
      <w:pPr>
        <w:rPr>
          <w:rFonts w:ascii="Times New Roman" w:hAnsi="Times New Roman" w:cs="Times New Roman"/>
          <w:bCs/>
          <w:i/>
          <w:sz w:val="24"/>
          <w:szCs w:val="24"/>
        </w:rPr>
      </w:pPr>
      <w:r w:rsidRPr="00DF4546">
        <w:rPr>
          <w:rFonts w:ascii="Times New Roman" w:hAnsi="Times New Roman" w:cs="Times New Roman"/>
          <w:bCs/>
          <w:sz w:val="24"/>
          <w:szCs w:val="24"/>
        </w:rPr>
        <w:t>Permanent law changes of interest to ESCs include the following:</w:t>
      </w:r>
    </w:p>
    <w:p w14:paraId="59CB16A6" w14:textId="77777777" w:rsidR="00315D05" w:rsidRPr="00DF4546" w:rsidRDefault="00315D05" w:rsidP="00315D05">
      <w:pPr>
        <w:pStyle w:val="ListParagraph"/>
        <w:numPr>
          <w:ilvl w:val="0"/>
          <w:numId w:val="10"/>
        </w:numPr>
        <w:spacing w:after="0" w:line="240" w:lineRule="auto"/>
        <w:rPr>
          <w:rFonts w:ascii="Times New Roman" w:hAnsi="Times New Roman" w:cs="Times New Roman"/>
          <w:b/>
          <w:sz w:val="24"/>
          <w:szCs w:val="24"/>
        </w:rPr>
      </w:pPr>
      <w:r w:rsidRPr="00DF4546">
        <w:rPr>
          <w:rFonts w:ascii="Times New Roman" w:hAnsi="Times New Roman" w:cs="Times New Roman"/>
          <w:b/>
          <w:sz w:val="24"/>
          <w:szCs w:val="24"/>
        </w:rPr>
        <w:t>Industry Sector Partnerships</w:t>
      </w:r>
    </w:p>
    <w:p w14:paraId="5F30BCA3" w14:textId="7E425011" w:rsidR="00315D05" w:rsidRPr="00DF4546" w:rsidRDefault="00315D05" w:rsidP="00315D05">
      <w:pPr>
        <w:pStyle w:val="ListParagraph"/>
        <w:numPr>
          <w:ilvl w:val="1"/>
          <w:numId w:val="10"/>
        </w:numPr>
        <w:autoSpaceDE w:val="0"/>
        <w:autoSpaceDN w:val="0"/>
        <w:adjustRightInd w:val="0"/>
        <w:spacing w:after="0" w:line="240" w:lineRule="auto"/>
        <w:rPr>
          <w:rFonts w:ascii="Times New Roman" w:hAnsi="Times New Roman" w:cs="Times New Roman"/>
          <w:bCs/>
          <w:sz w:val="24"/>
          <w:szCs w:val="24"/>
        </w:rPr>
      </w:pPr>
      <w:r w:rsidRPr="00DF4546">
        <w:rPr>
          <w:rFonts w:ascii="Times New Roman" w:hAnsi="Times New Roman" w:cs="Times New Roman"/>
          <w:bCs/>
          <w:sz w:val="24"/>
          <w:szCs w:val="24"/>
        </w:rPr>
        <w:t>Requires DSA, in consultation with the Governor's Office of Workforce Transformation, to create and administer a grant program to support regional industry sector partnerships, which can be used to: Hire employees, develop curricula or other educational resources to support the industry sector partnerships, market the industry sector partnership and opportunities the partnership creates for workforce development activities, any other activity the director has approved.</w:t>
      </w:r>
    </w:p>
    <w:p w14:paraId="6BC1AD5A" w14:textId="77777777" w:rsidR="00315D05" w:rsidRPr="00DF4546" w:rsidRDefault="00315D05" w:rsidP="00315D05">
      <w:pPr>
        <w:pStyle w:val="ListParagraph"/>
        <w:numPr>
          <w:ilvl w:val="1"/>
          <w:numId w:val="10"/>
        </w:numPr>
        <w:autoSpaceDE w:val="0"/>
        <w:autoSpaceDN w:val="0"/>
        <w:adjustRightInd w:val="0"/>
        <w:spacing w:after="0" w:line="240" w:lineRule="auto"/>
        <w:rPr>
          <w:rFonts w:ascii="Times New Roman" w:hAnsi="Times New Roman" w:cs="Times New Roman"/>
          <w:bCs/>
          <w:sz w:val="24"/>
          <w:szCs w:val="24"/>
        </w:rPr>
      </w:pPr>
      <w:r w:rsidRPr="00DF4546">
        <w:rPr>
          <w:rFonts w:ascii="Times New Roman" w:hAnsi="Times New Roman" w:cs="Times New Roman"/>
          <w:bCs/>
          <w:sz w:val="24"/>
          <w:szCs w:val="24"/>
        </w:rPr>
        <w:t>Includes educational service centers in the list of entities that may enter into a collaborative relationship to create an “industry sector partnership”.</w:t>
      </w:r>
    </w:p>
    <w:p w14:paraId="0024445E" w14:textId="77777777" w:rsidR="00315D05" w:rsidRPr="00DF4546" w:rsidRDefault="00315D05" w:rsidP="00315D05">
      <w:pPr>
        <w:pStyle w:val="ListParagraph"/>
        <w:numPr>
          <w:ilvl w:val="1"/>
          <w:numId w:val="10"/>
        </w:numPr>
        <w:autoSpaceDE w:val="0"/>
        <w:autoSpaceDN w:val="0"/>
        <w:adjustRightInd w:val="0"/>
        <w:spacing w:after="0" w:line="240" w:lineRule="auto"/>
        <w:rPr>
          <w:rFonts w:ascii="Times New Roman" w:hAnsi="Times New Roman" w:cs="Times New Roman"/>
          <w:bCs/>
          <w:sz w:val="24"/>
          <w:szCs w:val="24"/>
        </w:rPr>
      </w:pPr>
      <w:r w:rsidRPr="00DF4546">
        <w:rPr>
          <w:rFonts w:ascii="Times New Roman" w:hAnsi="Times New Roman" w:cs="Times New Roman"/>
          <w:bCs/>
          <w:sz w:val="24"/>
          <w:szCs w:val="24"/>
        </w:rPr>
        <w:t>Requires GRF appropriation item 195553, Industry Sector Partnerships, to be used for the Industry Sector Partnerships Program.</w:t>
      </w:r>
    </w:p>
    <w:p w14:paraId="0A5F8891" w14:textId="77777777" w:rsidR="00315D05" w:rsidRPr="00DF4546" w:rsidRDefault="00315D05" w:rsidP="00315D05">
      <w:pPr>
        <w:pStyle w:val="ListParagraph"/>
        <w:numPr>
          <w:ilvl w:val="0"/>
          <w:numId w:val="10"/>
        </w:numPr>
        <w:spacing w:after="0" w:line="240" w:lineRule="auto"/>
        <w:rPr>
          <w:rFonts w:ascii="Times New Roman" w:hAnsi="Times New Roman" w:cs="Times New Roman"/>
          <w:b/>
          <w:sz w:val="24"/>
          <w:szCs w:val="24"/>
        </w:rPr>
      </w:pPr>
      <w:r w:rsidRPr="00DF4546">
        <w:rPr>
          <w:rFonts w:ascii="Times New Roman" w:hAnsi="Times New Roman" w:cs="Times New Roman"/>
          <w:b/>
          <w:sz w:val="24"/>
          <w:szCs w:val="24"/>
        </w:rPr>
        <w:t>ESC ability to apply for grants; recognized as school district for that purpose</w:t>
      </w:r>
    </w:p>
    <w:p w14:paraId="0E06E1EC" w14:textId="77777777" w:rsidR="00315D05" w:rsidRPr="00DF4546" w:rsidRDefault="00315D05" w:rsidP="00315D05">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DF4546">
        <w:rPr>
          <w:rFonts w:ascii="Times New Roman" w:hAnsi="Times New Roman" w:cs="Times New Roman"/>
          <w:sz w:val="24"/>
          <w:szCs w:val="24"/>
        </w:rPr>
        <w:t>Permits, as part of a service agreement between an educational service center (ESC) and a school district or community school, an ESC to apply for state or federal grants on behalf of the client district or school and specifies that an ESC is considered a school district for the purposes of eligibility in applying for any state or federal grant.</w:t>
      </w:r>
    </w:p>
    <w:p w14:paraId="3915C1EA" w14:textId="77777777" w:rsidR="00315D05" w:rsidRPr="00DF4546" w:rsidRDefault="00315D05" w:rsidP="00315D05">
      <w:pPr>
        <w:pStyle w:val="ListParagraph"/>
        <w:numPr>
          <w:ilvl w:val="0"/>
          <w:numId w:val="10"/>
        </w:numPr>
        <w:spacing w:after="0" w:line="240" w:lineRule="auto"/>
        <w:rPr>
          <w:rFonts w:ascii="Times New Roman" w:hAnsi="Times New Roman" w:cs="Times New Roman"/>
          <w:b/>
          <w:sz w:val="24"/>
          <w:szCs w:val="24"/>
        </w:rPr>
      </w:pPr>
      <w:r w:rsidRPr="00DF4546">
        <w:rPr>
          <w:rFonts w:ascii="Times New Roman" w:hAnsi="Times New Roman" w:cs="Times New Roman"/>
          <w:b/>
          <w:sz w:val="24"/>
          <w:szCs w:val="24"/>
        </w:rPr>
        <w:t>ESC Inclusion in the Ohio Medicaid School Plan</w:t>
      </w:r>
    </w:p>
    <w:p w14:paraId="12BCF887" w14:textId="77777777" w:rsidR="00315D05" w:rsidRPr="00DF4546" w:rsidRDefault="00315D05" w:rsidP="00315D05">
      <w:pPr>
        <w:pStyle w:val="ListParagraph"/>
        <w:numPr>
          <w:ilvl w:val="1"/>
          <w:numId w:val="10"/>
        </w:numPr>
        <w:spacing w:after="0" w:line="240" w:lineRule="auto"/>
        <w:rPr>
          <w:rFonts w:ascii="Times New Roman" w:hAnsi="Times New Roman" w:cs="Times New Roman"/>
          <w:sz w:val="24"/>
          <w:szCs w:val="24"/>
        </w:rPr>
      </w:pPr>
      <w:r w:rsidRPr="00DF4546">
        <w:rPr>
          <w:rFonts w:ascii="Times New Roman" w:hAnsi="Times New Roman" w:cs="Times New Roman"/>
          <w:sz w:val="24"/>
          <w:szCs w:val="24"/>
        </w:rPr>
        <w:t>Will also require state plan amendment and CMS approval</w:t>
      </w:r>
    </w:p>
    <w:p w14:paraId="76970BFC" w14:textId="53D0C761" w:rsidR="00315D05" w:rsidRPr="00DF4546" w:rsidRDefault="00315D05" w:rsidP="00315D05">
      <w:pPr>
        <w:pStyle w:val="ListParagraph"/>
        <w:numPr>
          <w:ilvl w:val="1"/>
          <w:numId w:val="10"/>
        </w:numPr>
        <w:spacing w:after="0" w:line="240" w:lineRule="auto"/>
        <w:rPr>
          <w:rFonts w:ascii="Times New Roman" w:hAnsi="Times New Roman" w:cs="Times New Roman"/>
          <w:sz w:val="24"/>
          <w:szCs w:val="24"/>
        </w:rPr>
      </w:pPr>
      <w:r w:rsidRPr="00DF4546">
        <w:rPr>
          <w:rFonts w:ascii="Times New Roman" w:hAnsi="Times New Roman" w:cs="Times New Roman"/>
          <w:sz w:val="24"/>
          <w:szCs w:val="24"/>
        </w:rPr>
        <w:t xml:space="preserve">Seeking ability to also participate in broader Medicaid program to support </w:t>
      </w:r>
      <w:r w:rsidR="00530453" w:rsidRPr="00DF4546">
        <w:rPr>
          <w:rFonts w:ascii="Times New Roman" w:hAnsi="Times New Roman" w:cs="Times New Roman"/>
          <w:sz w:val="24"/>
          <w:szCs w:val="24"/>
        </w:rPr>
        <w:t>school-based</w:t>
      </w:r>
      <w:r w:rsidRPr="00DF4546">
        <w:rPr>
          <w:rFonts w:ascii="Times New Roman" w:hAnsi="Times New Roman" w:cs="Times New Roman"/>
          <w:sz w:val="24"/>
          <w:szCs w:val="24"/>
        </w:rPr>
        <w:t xml:space="preserve"> healthcare and school based mental health services in accordance to Department of Medicaid policies and guidelines.</w:t>
      </w:r>
    </w:p>
    <w:p w14:paraId="1BB3C48D" w14:textId="77777777" w:rsidR="00315D05" w:rsidRPr="00DF4546" w:rsidRDefault="00315D05" w:rsidP="00315D05">
      <w:pPr>
        <w:pStyle w:val="ListParagraph"/>
        <w:numPr>
          <w:ilvl w:val="0"/>
          <w:numId w:val="10"/>
        </w:numPr>
        <w:spacing w:after="0" w:line="240" w:lineRule="auto"/>
        <w:rPr>
          <w:rFonts w:ascii="Times New Roman" w:hAnsi="Times New Roman" w:cs="Times New Roman"/>
          <w:b/>
          <w:sz w:val="24"/>
          <w:szCs w:val="24"/>
        </w:rPr>
      </w:pPr>
      <w:r w:rsidRPr="00DF4546">
        <w:rPr>
          <w:rFonts w:ascii="Times New Roman" w:hAnsi="Times New Roman" w:cs="Times New Roman"/>
          <w:b/>
          <w:sz w:val="24"/>
          <w:szCs w:val="24"/>
        </w:rPr>
        <w:t>ESC Services exempt from competitive bidding</w:t>
      </w:r>
    </w:p>
    <w:p w14:paraId="5A880E64" w14:textId="77777777" w:rsidR="00315D05" w:rsidRPr="00DF4546" w:rsidRDefault="00315D05" w:rsidP="00315D05">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DF4546">
        <w:rPr>
          <w:rFonts w:ascii="Times New Roman" w:hAnsi="Times New Roman" w:cs="Times New Roman"/>
          <w:sz w:val="24"/>
          <w:szCs w:val="24"/>
        </w:rPr>
        <w:t>Permits an educational service center (ESC) to enter into a contract to purchase supplies, materials, equipment, and services on behalf of a school district or political subdivision that has entered into an agreement with the ESC.</w:t>
      </w:r>
    </w:p>
    <w:p w14:paraId="309D02DF" w14:textId="77777777" w:rsidR="00315D05" w:rsidRPr="00DF4546" w:rsidRDefault="00315D05" w:rsidP="00315D05">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DF4546">
        <w:rPr>
          <w:rFonts w:ascii="Times New Roman" w:hAnsi="Times New Roman" w:cs="Times New Roman"/>
          <w:sz w:val="24"/>
          <w:szCs w:val="24"/>
        </w:rPr>
        <w:t>Exempts a school district or political subdivision that has entered into an agreement with an ESC from competitive bidding requirements for the purchase of supplies, materials, equipment, or services.</w:t>
      </w:r>
    </w:p>
    <w:p w14:paraId="1283F81C" w14:textId="77777777" w:rsidR="00315D05" w:rsidRPr="00DF4546" w:rsidRDefault="00315D05" w:rsidP="00315D05">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DF4546">
        <w:rPr>
          <w:rFonts w:ascii="Times New Roman" w:hAnsi="Times New Roman" w:cs="Times New Roman"/>
          <w:sz w:val="24"/>
          <w:szCs w:val="24"/>
        </w:rPr>
        <w:t>Prohibits a political subdivision from making purchases under this provision when the political subdivision has received bids for a purchase, unless the same terms, conditions, and prices can be made for the purchase.</w:t>
      </w:r>
    </w:p>
    <w:p w14:paraId="6BD20E81" w14:textId="77777777" w:rsidR="00315D05" w:rsidRPr="00DF4546" w:rsidRDefault="00315D05" w:rsidP="00315D05">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DF4546">
        <w:rPr>
          <w:rFonts w:ascii="Times New Roman" w:hAnsi="Times New Roman" w:cs="Times New Roman"/>
          <w:sz w:val="24"/>
          <w:szCs w:val="24"/>
        </w:rPr>
        <w:t>Conditions the authority to purchase for districts and subdivisions on the ESC being in compliance with service posting requirements, designation as "high performing" under State Board rule, and substantial compliance with audit rules and guidelines.</w:t>
      </w:r>
    </w:p>
    <w:p w14:paraId="7D38C114" w14:textId="77777777" w:rsidR="00315D05" w:rsidRDefault="00315D05" w:rsidP="001244A8">
      <w:pPr>
        <w:spacing w:after="0" w:line="240" w:lineRule="auto"/>
        <w:rPr>
          <w:rFonts w:ascii="Times New Roman" w:eastAsia="Times New Roman" w:hAnsi="Times New Roman" w:cs="Times New Roman"/>
          <w:sz w:val="24"/>
          <w:szCs w:val="24"/>
        </w:rPr>
      </w:pPr>
    </w:p>
    <w:p w14:paraId="145CBD00" w14:textId="550A8AFE" w:rsidR="00160E4D" w:rsidRPr="00371ADB" w:rsidRDefault="00315D05" w:rsidP="001244A8">
      <w:pPr>
        <w:spacing w:after="0" w:line="240" w:lineRule="auto"/>
        <w:rPr>
          <w:rFonts w:ascii="Times New Roman" w:eastAsia="Times New Roman" w:hAnsi="Times New Roman" w:cs="Times New Roman"/>
          <w:sz w:val="24"/>
          <w:szCs w:val="24"/>
        </w:rPr>
      </w:pPr>
      <w:r w:rsidRPr="00315D05">
        <w:rPr>
          <w:rFonts w:ascii="Times New Roman" w:eastAsia="Times New Roman" w:hAnsi="Times New Roman" w:cs="Times New Roman"/>
          <w:b/>
          <w:bCs/>
          <w:i/>
          <w:iCs/>
          <w:sz w:val="24"/>
          <w:szCs w:val="24"/>
        </w:rPr>
        <w:lastRenderedPageBreak/>
        <w:t>Other Education Provisions.</w:t>
      </w:r>
      <w:r>
        <w:rPr>
          <w:rFonts w:ascii="Times New Roman" w:eastAsia="Times New Roman" w:hAnsi="Times New Roman" w:cs="Times New Roman"/>
          <w:sz w:val="24"/>
          <w:szCs w:val="24"/>
        </w:rPr>
        <w:t xml:space="preserve">  </w:t>
      </w:r>
      <w:r w:rsidR="00160E4D">
        <w:rPr>
          <w:rFonts w:ascii="Times New Roman" w:eastAsia="Times New Roman" w:hAnsi="Times New Roman" w:cs="Times New Roman"/>
          <w:sz w:val="24"/>
          <w:szCs w:val="24"/>
        </w:rPr>
        <w:t>While the Governor’s proposed budget focused primarily on targeted appropriations for key policy areas, the House and Senate introduced several permanent law changes with significant impact on education policy as outlined below.</w:t>
      </w:r>
    </w:p>
    <w:p w14:paraId="219B2335" w14:textId="77777777" w:rsidR="00ED68C0" w:rsidRDefault="00ED68C0" w:rsidP="001244A8">
      <w:pPr>
        <w:spacing w:after="0" w:line="240" w:lineRule="auto"/>
        <w:rPr>
          <w:rFonts w:ascii="Times New Roman" w:eastAsia="Times New Roman" w:hAnsi="Times New Roman" w:cs="Times New Roman"/>
          <w:b/>
          <w:bCs/>
          <w:i/>
          <w:iCs/>
          <w:sz w:val="24"/>
          <w:szCs w:val="24"/>
        </w:rPr>
      </w:pPr>
    </w:p>
    <w:p w14:paraId="24C18DB9" w14:textId="17F7842C" w:rsidR="001244A8" w:rsidRPr="00315D05" w:rsidRDefault="001244A8" w:rsidP="00315D05">
      <w:pPr>
        <w:pStyle w:val="ListParagraph"/>
        <w:numPr>
          <w:ilvl w:val="0"/>
          <w:numId w:val="12"/>
        </w:numPr>
        <w:spacing w:after="0" w:line="240" w:lineRule="auto"/>
        <w:rPr>
          <w:rFonts w:ascii="Times New Roman" w:eastAsia="Times New Roman" w:hAnsi="Times New Roman" w:cs="Times New Roman"/>
          <w:sz w:val="24"/>
          <w:szCs w:val="24"/>
        </w:rPr>
      </w:pPr>
      <w:r w:rsidRPr="00315D05">
        <w:rPr>
          <w:rFonts w:ascii="Times New Roman" w:eastAsia="Times New Roman" w:hAnsi="Times New Roman" w:cs="Times New Roman"/>
          <w:b/>
          <w:bCs/>
          <w:i/>
          <w:iCs/>
          <w:sz w:val="24"/>
          <w:szCs w:val="24"/>
        </w:rPr>
        <w:t>Graduation Requirements.</w:t>
      </w:r>
      <w:r w:rsidRPr="00315D05">
        <w:rPr>
          <w:rFonts w:ascii="Times New Roman" w:eastAsia="Times New Roman" w:hAnsi="Times New Roman" w:cs="Times New Roman"/>
          <w:sz w:val="24"/>
          <w:szCs w:val="24"/>
        </w:rPr>
        <w:t xml:space="preserve">  The </w:t>
      </w:r>
      <w:r w:rsidR="00ED68C0" w:rsidRPr="00315D05">
        <w:rPr>
          <w:rFonts w:ascii="Times New Roman" w:eastAsia="Times New Roman" w:hAnsi="Times New Roman" w:cs="Times New Roman"/>
          <w:sz w:val="24"/>
          <w:szCs w:val="24"/>
        </w:rPr>
        <w:t>senate-passed budget</w:t>
      </w:r>
      <w:r w:rsidRPr="00315D05">
        <w:rPr>
          <w:rFonts w:ascii="Times New Roman" w:eastAsia="Times New Roman" w:hAnsi="Times New Roman" w:cs="Times New Roman"/>
          <w:sz w:val="24"/>
          <w:szCs w:val="24"/>
        </w:rPr>
        <w:t xml:space="preserve"> included changes to high school graduation requirements based on a proposal developed by Alliance for High Quality Education, Ohio Excels and the Thomas B. Fordham Institute. The plan was put forward by the groups last month as an alternative to requirements recommended by the State Board of Education.</w:t>
      </w:r>
    </w:p>
    <w:p w14:paraId="306E0863" w14:textId="77777777" w:rsidR="001244A8" w:rsidRPr="00141E0D" w:rsidRDefault="001244A8" w:rsidP="001244A8">
      <w:pPr>
        <w:spacing w:after="0" w:line="240" w:lineRule="auto"/>
        <w:rPr>
          <w:rFonts w:ascii="Times New Roman" w:eastAsia="Times New Roman" w:hAnsi="Times New Roman" w:cs="Times New Roman"/>
          <w:sz w:val="24"/>
          <w:szCs w:val="24"/>
        </w:rPr>
      </w:pPr>
    </w:p>
    <w:p w14:paraId="386D6505" w14:textId="18A8E637" w:rsidR="00ED68C0" w:rsidRDefault="001244A8" w:rsidP="00315D05">
      <w:pPr>
        <w:spacing w:after="0" w:line="240" w:lineRule="auto"/>
        <w:ind w:left="720"/>
        <w:rPr>
          <w:rFonts w:ascii="Times New Roman" w:eastAsia="Times New Roman" w:hAnsi="Times New Roman" w:cs="Times New Roman"/>
          <w:sz w:val="24"/>
          <w:szCs w:val="24"/>
        </w:rPr>
      </w:pPr>
      <w:r w:rsidRPr="00141E0D">
        <w:rPr>
          <w:rFonts w:ascii="Times New Roman" w:eastAsia="Times New Roman" w:hAnsi="Times New Roman" w:cs="Times New Roman"/>
          <w:sz w:val="24"/>
          <w:szCs w:val="24"/>
        </w:rPr>
        <w:t>The proposed graduation requirements, which would start with the class of 2023, would reduce the number of state tests and provide non-test alternatives.</w:t>
      </w:r>
      <w:r w:rsidR="00ED68C0">
        <w:rPr>
          <w:rFonts w:ascii="Times New Roman" w:eastAsia="Times New Roman" w:hAnsi="Times New Roman" w:cs="Times New Roman"/>
          <w:sz w:val="24"/>
          <w:szCs w:val="24"/>
        </w:rPr>
        <w:t xml:space="preserve">  More specifically, the proposal requires the following:</w:t>
      </w:r>
    </w:p>
    <w:p w14:paraId="22949869" w14:textId="77777777" w:rsidR="00ED68C0" w:rsidRPr="00ED68C0" w:rsidRDefault="00ED68C0" w:rsidP="00ED68C0">
      <w:pPr>
        <w:spacing w:after="0" w:line="240" w:lineRule="auto"/>
        <w:rPr>
          <w:rFonts w:ascii="Times New Roman" w:eastAsia="Times New Roman" w:hAnsi="Times New Roman" w:cs="Times New Roman"/>
          <w:sz w:val="24"/>
          <w:szCs w:val="24"/>
        </w:rPr>
      </w:pPr>
    </w:p>
    <w:p w14:paraId="57C94CE7" w14:textId="77777777" w:rsidR="00ED68C0" w:rsidRPr="00ED68C0" w:rsidRDefault="00ED68C0" w:rsidP="00315D05">
      <w:pPr>
        <w:pStyle w:val="ListParagraph"/>
        <w:numPr>
          <w:ilvl w:val="0"/>
          <w:numId w:val="13"/>
        </w:numPr>
        <w:spacing w:after="0" w:line="240" w:lineRule="auto"/>
        <w:ind w:left="1080"/>
        <w:rPr>
          <w:rFonts w:ascii="Times New Roman" w:hAnsi="Times New Roman" w:cs="Times New Roman"/>
          <w:i/>
          <w:sz w:val="24"/>
          <w:szCs w:val="24"/>
        </w:rPr>
      </w:pPr>
      <w:r w:rsidRPr="00ED68C0">
        <w:rPr>
          <w:rFonts w:ascii="Times New Roman" w:hAnsi="Times New Roman" w:cs="Times New Roman"/>
          <w:sz w:val="24"/>
          <w:szCs w:val="24"/>
        </w:rPr>
        <w:t xml:space="preserve">Stipulates that, in order to qualify for a high school diploma, a student must meet curriculum requirements, as under continuing law, and do both of the following: (1) attain a "competency score" on both the algebra I and English language arts II end-of-course exams (or use an alternative demonstration of competency) and (2) attain at least two state diploma seals, at least one of which must be the existing biliteracy seal, the existing OhioMeansJobs readiness seal, or one of the new seals for which the State Board of Education establishes requirements </w:t>
      </w:r>
      <w:r w:rsidRPr="00ED68C0">
        <w:rPr>
          <w:rFonts w:ascii="Times New Roman" w:hAnsi="Times New Roman" w:cs="Times New Roman"/>
          <w:i/>
          <w:sz w:val="24"/>
          <w:szCs w:val="24"/>
        </w:rPr>
        <w:t xml:space="preserve">(see below). </w:t>
      </w:r>
    </w:p>
    <w:p w14:paraId="60981CD2" w14:textId="77777777" w:rsidR="00ED68C0" w:rsidRDefault="00ED68C0" w:rsidP="00315D05">
      <w:pPr>
        <w:spacing w:after="0" w:line="240" w:lineRule="auto"/>
        <w:ind w:left="720"/>
        <w:rPr>
          <w:rFonts w:ascii="Times New Roman" w:hAnsi="Times New Roman" w:cs="Times New Roman"/>
          <w:sz w:val="24"/>
          <w:szCs w:val="24"/>
        </w:rPr>
      </w:pPr>
    </w:p>
    <w:p w14:paraId="46969B80" w14:textId="77777777"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t xml:space="preserve">Requires the Governor's Executive Workforce Board, in consultation with the Superintendent of Public Instruction and the Chancellor of Higher Education, to determine a "competency score" for the algebra I and English language arts II end-of-course exams. </w:t>
      </w:r>
    </w:p>
    <w:p w14:paraId="1AD856F8" w14:textId="77777777" w:rsidR="00ED68C0" w:rsidRDefault="00ED68C0" w:rsidP="00315D05">
      <w:pPr>
        <w:spacing w:after="0" w:line="240" w:lineRule="auto"/>
        <w:ind w:left="720"/>
        <w:rPr>
          <w:rFonts w:ascii="Times New Roman" w:hAnsi="Times New Roman" w:cs="Times New Roman"/>
          <w:sz w:val="24"/>
          <w:szCs w:val="24"/>
        </w:rPr>
      </w:pPr>
    </w:p>
    <w:p w14:paraId="788D16EC" w14:textId="7396D861"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t xml:space="preserve">Requires school districts to offer remedial support to students who fail one or both of the required competency </w:t>
      </w:r>
      <w:r w:rsidR="00530453" w:rsidRPr="00ED68C0">
        <w:rPr>
          <w:rFonts w:ascii="Times New Roman" w:hAnsi="Times New Roman" w:cs="Times New Roman"/>
          <w:sz w:val="24"/>
          <w:szCs w:val="24"/>
        </w:rPr>
        <w:t>exams and</w:t>
      </w:r>
      <w:r w:rsidRPr="00ED68C0">
        <w:rPr>
          <w:rFonts w:ascii="Times New Roman" w:hAnsi="Times New Roman" w:cs="Times New Roman"/>
          <w:sz w:val="24"/>
          <w:szCs w:val="24"/>
        </w:rPr>
        <w:t xml:space="preserve"> requires such students to retake the respective exam at least once.</w:t>
      </w:r>
    </w:p>
    <w:p w14:paraId="57B549BA" w14:textId="77777777" w:rsidR="00ED68C0" w:rsidRDefault="00ED68C0" w:rsidP="00315D05">
      <w:pPr>
        <w:spacing w:after="0" w:line="240" w:lineRule="auto"/>
        <w:ind w:left="720"/>
        <w:rPr>
          <w:rFonts w:ascii="Times New Roman" w:hAnsi="Times New Roman" w:cs="Times New Roman"/>
          <w:sz w:val="24"/>
          <w:szCs w:val="24"/>
        </w:rPr>
      </w:pPr>
    </w:p>
    <w:p w14:paraId="60DA5749" w14:textId="39A7B21C"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t>Permits students who fail the retakes to demonstrate competency by (1) completing course credit through the College Credit Plus program, (2) providing evidence the student has enlisted in a branch of the U.S Armed Forces, (3) completing at least one "foundational" option (including earning proficient scores on state technical assessments, obtaining an industry recognized credential, completing a pre-apprenticeship or apprenticeship, or providing evidence of acceptance into an apprenticeship program after high school) and either another "foundational" option or a "supporting" option (including completing 250 hours of work-based learning experience, obtaining an OhioMeansJobs-readiness seal, or attaining a score on the WorkKeys assessment).</w:t>
      </w:r>
    </w:p>
    <w:p w14:paraId="7168BE53" w14:textId="77777777" w:rsidR="00ED68C0" w:rsidRPr="00141E0D" w:rsidRDefault="00ED68C0" w:rsidP="00315D05">
      <w:pPr>
        <w:spacing w:after="0" w:line="240" w:lineRule="auto"/>
        <w:ind w:left="720"/>
        <w:rPr>
          <w:rFonts w:ascii="Times New Roman" w:hAnsi="Times New Roman" w:cs="Times New Roman"/>
          <w:sz w:val="24"/>
          <w:szCs w:val="24"/>
        </w:rPr>
      </w:pPr>
    </w:p>
    <w:p w14:paraId="335368E2" w14:textId="4D6E0B10"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t xml:space="preserve">Requires an individualized education program (IEP) for a special education student to specify the </w:t>
      </w:r>
      <w:r w:rsidR="00530453" w:rsidRPr="00ED68C0">
        <w:rPr>
          <w:rFonts w:ascii="Times New Roman" w:hAnsi="Times New Roman" w:cs="Times New Roman"/>
          <w:sz w:val="24"/>
          <w:szCs w:val="24"/>
        </w:rPr>
        <w:t>way</w:t>
      </w:r>
      <w:r w:rsidRPr="00ED68C0">
        <w:rPr>
          <w:rFonts w:ascii="Times New Roman" w:hAnsi="Times New Roman" w:cs="Times New Roman"/>
          <w:sz w:val="24"/>
          <w:szCs w:val="24"/>
        </w:rPr>
        <w:t xml:space="preserve"> the student will participate in assessments related to the new graduation requirements. </w:t>
      </w:r>
    </w:p>
    <w:p w14:paraId="5B30962B" w14:textId="77777777" w:rsidR="00ED68C0" w:rsidRPr="00141E0D" w:rsidRDefault="00ED68C0" w:rsidP="00315D05">
      <w:pPr>
        <w:spacing w:after="0" w:line="240" w:lineRule="auto"/>
        <w:ind w:left="720"/>
        <w:rPr>
          <w:rFonts w:ascii="Times New Roman" w:hAnsi="Times New Roman" w:cs="Times New Roman"/>
          <w:sz w:val="24"/>
          <w:szCs w:val="24"/>
        </w:rPr>
      </w:pPr>
    </w:p>
    <w:p w14:paraId="21EB6604" w14:textId="77777777"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lastRenderedPageBreak/>
        <w:t xml:space="preserve">Requires the State Board of Education to establish a series of state diploma seals that students may use to meet the new graduation requirements. Specifies that the state diploma seals consist of all of the following: (1) the biliteracy seal established under continuing law, (2) the OhioMeansJobs-readiness seal established under continuing law, (3) an industry recognized credential seal, (4) a college-ready seal, (5) a military enlistment seal, (6) a citizenship seal, (7) a science seal, (8) an honors diploma seal, (9) a technology seal, (10) a community service seal, (11) a fine and performing arts seal, and (12) a student engagement seal. Specifies the requirements in statute for the new seals listed in items (3) to (9) above. </w:t>
      </w:r>
    </w:p>
    <w:p w14:paraId="5EB57EF8" w14:textId="71FDC809"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t>Specifies that the requirements for the new seals listed in items (10) to (12) above are to be set by the district or school. Requires a district or school to develop guidelines for at least one of the seals listed in items (10) to (12) above.</w:t>
      </w:r>
    </w:p>
    <w:p w14:paraId="2FEFE7FF" w14:textId="77777777" w:rsidR="00ED68C0" w:rsidRPr="00141E0D" w:rsidRDefault="00ED68C0" w:rsidP="00315D05">
      <w:pPr>
        <w:spacing w:after="0" w:line="240" w:lineRule="auto"/>
        <w:ind w:left="720"/>
        <w:rPr>
          <w:rFonts w:ascii="Times New Roman" w:hAnsi="Times New Roman" w:cs="Times New Roman"/>
          <w:sz w:val="24"/>
          <w:szCs w:val="24"/>
        </w:rPr>
      </w:pPr>
    </w:p>
    <w:p w14:paraId="73D4CFED" w14:textId="21A3FCAD"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t xml:space="preserve">Requires each district or school, not later than June 30, 2020, to adopt a policy regarding students who are at risk of not qualifying for a high school diploma. Requires the adopted policy to include (1) criteria for identifying at-risk students; (2) procedures for identifying at-risk students; (3) a process to notify an at-risk student's parent, guardian, or custodian that the student is at risk; (4) additional instructional or support services for at-risk students and (5) the development of a graduation plan, which must be updated in each year of high school, for each student. </w:t>
      </w:r>
    </w:p>
    <w:p w14:paraId="2B2146ED" w14:textId="77777777" w:rsidR="00ED68C0" w:rsidRPr="00141E0D" w:rsidRDefault="00ED68C0" w:rsidP="00315D05">
      <w:pPr>
        <w:spacing w:after="0" w:line="240" w:lineRule="auto"/>
        <w:ind w:left="720"/>
        <w:rPr>
          <w:rFonts w:ascii="Times New Roman" w:hAnsi="Times New Roman" w:cs="Times New Roman"/>
          <w:sz w:val="24"/>
          <w:szCs w:val="24"/>
        </w:rPr>
      </w:pPr>
    </w:p>
    <w:p w14:paraId="46399D26" w14:textId="77777777"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t>Requires the graduation plans to supplement a school district's policy on career advising.</w:t>
      </w:r>
    </w:p>
    <w:p w14:paraId="367AE640" w14:textId="77777777" w:rsidR="00315D05" w:rsidRDefault="00315D05" w:rsidP="00315D05">
      <w:pPr>
        <w:pStyle w:val="ListParagraph"/>
        <w:spacing w:after="0" w:line="240" w:lineRule="auto"/>
        <w:ind w:left="1080"/>
        <w:rPr>
          <w:rFonts w:ascii="Times New Roman" w:hAnsi="Times New Roman" w:cs="Times New Roman"/>
          <w:sz w:val="24"/>
          <w:szCs w:val="24"/>
        </w:rPr>
      </w:pPr>
    </w:p>
    <w:p w14:paraId="2B4EA3EE" w14:textId="3E1493E7"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t xml:space="preserve">Requires the Education Management Information System (EMIS) to include data on the number of students (1) earning each state diploma seal, (2) demonstrating competency for graduation using (a) course credit through the College Credit Plus program, (b) enlisting in a branch of the U.S. Armed Forces, and (c) completing foundational and supporting options, and (3) completing each foundational and supporting option. </w:t>
      </w:r>
    </w:p>
    <w:p w14:paraId="4D2B783A" w14:textId="77777777" w:rsidR="00ED68C0" w:rsidRPr="00141E0D" w:rsidRDefault="00ED68C0" w:rsidP="00315D05">
      <w:pPr>
        <w:spacing w:after="0" w:line="240" w:lineRule="auto"/>
        <w:ind w:left="720"/>
        <w:rPr>
          <w:rFonts w:ascii="Times New Roman" w:hAnsi="Times New Roman" w:cs="Times New Roman"/>
          <w:sz w:val="24"/>
          <w:szCs w:val="24"/>
        </w:rPr>
      </w:pPr>
    </w:p>
    <w:p w14:paraId="02F3B53C" w14:textId="17B02935"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t xml:space="preserve">Requires the State Superintendent, in collaboration with the Chancellor and the Governor's Office of Workforce Transformation, to establish a committee consisting of representatives of career-technical educators, community colleges, guidance counselors, Ohio Technical Centers, principals, superintendents, and teachers to develop policy recommendations regarding students who completed 12th grade, but did not qualify for a high school diploma. Requires the committee issue a report of its recommendations by October 1, 2020. </w:t>
      </w:r>
    </w:p>
    <w:p w14:paraId="5C298B74" w14:textId="77777777" w:rsidR="00ED68C0" w:rsidRPr="00141E0D" w:rsidRDefault="00ED68C0" w:rsidP="00315D05">
      <w:pPr>
        <w:spacing w:after="0" w:line="240" w:lineRule="auto"/>
        <w:ind w:left="720"/>
        <w:rPr>
          <w:rFonts w:ascii="Times New Roman" w:hAnsi="Times New Roman" w:cs="Times New Roman"/>
          <w:sz w:val="24"/>
          <w:szCs w:val="24"/>
        </w:rPr>
      </w:pPr>
    </w:p>
    <w:p w14:paraId="5A7C751E" w14:textId="77777777" w:rsidR="00ED68C0" w:rsidRPr="00ED68C0" w:rsidRDefault="00ED68C0" w:rsidP="00315D05">
      <w:pPr>
        <w:pStyle w:val="ListParagraph"/>
        <w:numPr>
          <w:ilvl w:val="0"/>
          <w:numId w:val="13"/>
        </w:numPr>
        <w:spacing w:after="0" w:line="240" w:lineRule="auto"/>
        <w:ind w:left="1080"/>
        <w:rPr>
          <w:rFonts w:ascii="Times New Roman" w:hAnsi="Times New Roman" w:cs="Times New Roman"/>
          <w:sz w:val="24"/>
          <w:szCs w:val="24"/>
        </w:rPr>
      </w:pPr>
      <w:r w:rsidRPr="00ED68C0">
        <w:rPr>
          <w:rFonts w:ascii="Times New Roman" w:hAnsi="Times New Roman" w:cs="Times New Roman"/>
          <w:sz w:val="24"/>
          <w:szCs w:val="24"/>
        </w:rPr>
        <w:t xml:space="preserve">Requires the recommendations to identify additional assistance and support for these students, the amount of state funding necessary to ensure the adequate operation of the identified assistance and supports, and ways to reduce the stigma from not graduating on time. </w:t>
      </w:r>
    </w:p>
    <w:p w14:paraId="5077816D" w14:textId="77777777" w:rsidR="001244A8" w:rsidRPr="001244A8" w:rsidRDefault="001244A8" w:rsidP="001244A8">
      <w:pPr>
        <w:pStyle w:val="NormalWeb"/>
        <w:spacing w:before="0" w:beforeAutospacing="0" w:after="0" w:afterAutospacing="0"/>
      </w:pPr>
    </w:p>
    <w:p w14:paraId="0DD98A02" w14:textId="705D83EA" w:rsidR="001244A8" w:rsidRPr="00315D05" w:rsidRDefault="001244A8" w:rsidP="00315D05">
      <w:pPr>
        <w:pStyle w:val="ListParagraph"/>
        <w:numPr>
          <w:ilvl w:val="0"/>
          <w:numId w:val="7"/>
        </w:numPr>
        <w:spacing w:after="0" w:line="240" w:lineRule="auto"/>
        <w:rPr>
          <w:rFonts w:ascii="Times New Roman" w:hAnsi="Times New Roman" w:cs="Times New Roman"/>
          <w:sz w:val="24"/>
          <w:szCs w:val="24"/>
        </w:rPr>
      </w:pPr>
      <w:r w:rsidRPr="00315D05">
        <w:rPr>
          <w:rFonts w:ascii="Times New Roman" w:hAnsi="Times New Roman" w:cs="Times New Roman"/>
          <w:b/>
          <w:bCs/>
          <w:i/>
          <w:iCs/>
          <w:sz w:val="24"/>
          <w:szCs w:val="24"/>
        </w:rPr>
        <w:t>Report Card.</w:t>
      </w:r>
      <w:r w:rsidRPr="00315D05">
        <w:rPr>
          <w:rFonts w:ascii="Times New Roman" w:hAnsi="Times New Roman" w:cs="Times New Roman"/>
          <w:sz w:val="24"/>
          <w:szCs w:val="24"/>
        </w:rPr>
        <w:t xml:space="preserve">  The Senate also addressed the state's report card system by changing how district and school grades in the progress category are calculated. The proposal modifies </w:t>
      </w:r>
      <w:r w:rsidRPr="00315D05">
        <w:rPr>
          <w:rFonts w:ascii="Times New Roman" w:hAnsi="Times New Roman" w:cs="Times New Roman"/>
          <w:sz w:val="24"/>
          <w:szCs w:val="24"/>
        </w:rPr>
        <w:lastRenderedPageBreak/>
        <w:t xml:space="preserve">the grading scale used to determine letter grades assigned for the report card's value-added progress dimension, which computes "gain index" values based on the number of standard errors above or below the mean on a statistical measure of academic growth, as follows: </w:t>
      </w:r>
    </w:p>
    <w:p w14:paraId="6D902CB1" w14:textId="77777777" w:rsidR="001244A8" w:rsidRPr="00141E0D" w:rsidRDefault="001244A8" w:rsidP="00857FC7">
      <w:pPr>
        <w:pStyle w:val="ListParagraph"/>
        <w:numPr>
          <w:ilvl w:val="0"/>
          <w:numId w:val="14"/>
        </w:numPr>
        <w:spacing w:after="0" w:line="240" w:lineRule="auto"/>
        <w:ind w:left="1080"/>
        <w:rPr>
          <w:rFonts w:ascii="Times New Roman" w:hAnsi="Times New Roman" w:cs="Times New Roman"/>
          <w:sz w:val="24"/>
          <w:szCs w:val="24"/>
        </w:rPr>
      </w:pPr>
      <w:r w:rsidRPr="001244A8">
        <w:rPr>
          <w:rFonts w:ascii="Times New Roman" w:hAnsi="Times New Roman" w:cs="Times New Roman"/>
          <w:sz w:val="24"/>
          <w:szCs w:val="24"/>
        </w:rPr>
        <w:t>(1) A score of one or</w:t>
      </w:r>
      <w:r w:rsidRPr="00141E0D">
        <w:rPr>
          <w:rFonts w:ascii="Times New Roman" w:hAnsi="Times New Roman" w:cs="Times New Roman"/>
          <w:sz w:val="24"/>
          <w:szCs w:val="24"/>
        </w:rPr>
        <w:t xml:space="preserve"> greater (instead of a score of two or greater under current law) is designated as an "A;"</w:t>
      </w:r>
    </w:p>
    <w:p w14:paraId="4F0F6475" w14:textId="77777777" w:rsidR="001244A8" w:rsidRPr="00141E0D" w:rsidRDefault="001244A8" w:rsidP="00857FC7">
      <w:pPr>
        <w:pStyle w:val="ListParagraph"/>
        <w:numPr>
          <w:ilvl w:val="0"/>
          <w:numId w:val="14"/>
        </w:numPr>
        <w:spacing w:after="0" w:line="240" w:lineRule="auto"/>
        <w:ind w:left="1080"/>
        <w:rPr>
          <w:rFonts w:ascii="Times New Roman" w:hAnsi="Times New Roman" w:cs="Times New Roman"/>
          <w:sz w:val="24"/>
          <w:szCs w:val="24"/>
        </w:rPr>
      </w:pPr>
      <w:r w:rsidRPr="00141E0D">
        <w:rPr>
          <w:rFonts w:ascii="Times New Roman" w:hAnsi="Times New Roman" w:cs="Times New Roman"/>
          <w:sz w:val="24"/>
          <w:szCs w:val="24"/>
        </w:rPr>
        <w:t xml:space="preserve">(2) A score that is less than one but not greater than negative one (instead of a score that is at least one but less than two) is designated as a "B;" </w:t>
      </w:r>
    </w:p>
    <w:p w14:paraId="1C8DB48C" w14:textId="77777777" w:rsidR="001244A8" w:rsidRPr="00141E0D" w:rsidRDefault="001244A8" w:rsidP="00857FC7">
      <w:pPr>
        <w:pStyle w:val="ListParagraph"/>
        <w:numPr>
          <w:ilvl w:val="0"/>
          <w:numId w:val="14"/>
        </w:numPr>
        <w:spacing w:after="0" w:line="240" w:lineRule="auto"/>
        <w:ind w:left="1080"/>
        <w:rPr>
          <w:rFonts w:ascii="Times New Roman" w:hAnsi="Times New Roman" w:cs="Times New Roman"/>
          <w:sz w:val="24"/>
          <w:szCs w:val="24"/>
        </w:rPr>
      </w:pPr>
      <w:r w:rsidRPr="00141E0D">
        <w:rPr>
          <w:rFonts w:ascii="Times New Roman" w:hAnsi="Times New Roman" w:cs="Times New Roman"/>
          <w:sz w:val="24"/>
          <w:szCs w:val="24"/>
        </w:rPr>
        <w:t xml:space="preserve">(3) A score that is less than or equal to negative one but greater than negative two (instead of a score that is less than one but greater than or equal to negative one) is designated as a "C;" </w:t>
      </w:r>
    </w:p>
    <w:p w14:paraId="035422C0" w14:textId="77777777" w:rsidR="001244A8" w:rsidRPr="00141E0D" w:rsidRDefault="001244A8" w:rsidP="00857FC7">
      <w:pPr>
        <w:pStyle w:val="ListParagraph"/>
        <w:numPr>
          <w:ilvl w:val="0"/>
          <w:numId w:val="14"/>
        </w:numPr>
        <w:spacing w:after="0" w:line="240" w:lineRule="auto"/>
        <w:ind w:left="1080"/>
        <w:rPr>
          <w:rFonts w:ascii="Times New Roman" w:hAnsi="Times New Roman" w:cs="Times New Roman"/>
          <w:sz w:val="24"/>
          <w:szCs w:val="24"/>
        </w:rPr>
      </w:pPr>
      <w:r w:rsidRPr="00141E0D">
        <w:rPr>
          <w:rFonts w:ascii="Times New Roman" w:hAnsi="Times New Roman" w:cs="Times New Roman"/>
          <w:sz w:val="24"/>
          <w:szCs w:val="24"/>
        </w:rPr>
        <w:t xml:space="preserve">(4) A score that is less than or equal to negative two but greater than negative three (instead of a score that is not greater than negative one but greater than or equal to negative two) is designated as a "D;" </w:t>
      </w:r>
    </w:p>
    <w:p w14:paraId="4DC5C297" w14:textId="77777777" w:rsidR="001244A8" w:rsidRPr="00141E0D" w:rsidRDefault="001244A8" w:rsidP="00857FC7">
      <w:pPr>
        <w:pStyle w:val="ListParagraph"/>
        <w:numPr>
          <w:ilvl w:val="0"/>
          <w:numId w:val="14"/>
        </w:numPr>
        <w:spacing w:after="0" w:line="240" w:lineRule="auto"/>
        <w:ind w:left="1080"/>
        <w:rPr>
          <w:rFonts w:ascii="Times New Roman" w:hAnsi="Times New Roman" w:cs="Times New Roman"/>
          <w:sz w:val="24"/>
          <w:szCs w:val="24"/>
        </w:rPr>
      </w:pPr>
      <w:r w:rsidRPr="00141E0D">
        <w:rPr>
          <w:rFonts w:ascii="Times New Roman" w:hAnsi="Times New Roman" w:cs="Times New Roman"/>
          <w:sz w:val="24"/>
          <w:szCs w:val="24"/>
        </w:rPr>
        <w:t xml:space="preserve">(5) A score that is less than or equal to negative three (instead of a score that is not greater than negative two) is designated as an "F." </w:t>
      </w:r>
    </w:p>
    <w:p w14:paraId="084ECD94" w14:textId="77777777" w:rsidR="001244A8" w:rsidRDefault="001244A8" w:rsidP="00857FC7">
      <w:pPr>
        <w:spacing w:after="0" w:line="240" w:lineRule="auto"/>
        <w:ind w:left="360"/>
        <w:rPr>
          <w:rFonts w:ascii="Times New Roman" w:hAnsi="Times New Roman" w:cs="Times New Roman"/>
          <w:sz w:val="24"/>
          <w:szCs w:val="24"/>
        </w:rPr>
      </w:pPr>
    </w:p>
    <w:p w14:paraId="36C70675" w14:textId="10B94193" w:rsidR="001244A8" w:rsidRPr="00141E0D" w:rsidRDefault="001244A8" w:rsidP="00857F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Additionally, it s</w:t>
      </w:r>
      <w:r w:rsidRPr="00141E0D">
        <w:rPr>
          <w:rFonts w:ascii="Times New Roman" w:hAnsi="Times New Roman" w:cs="Times New Roman"/>
          <w:sz w:val="24"/>
          <w:szCs w:val="24"/>
        </w:rPr>
        <w:t>pecifies that, in assigning letter grades for the overall score on the value-added progress dimension of the report card, the State Board of Education must prohibit assigning an "A" on this measure unless a district or building's assigned grade for the subgroups of the value-added progress dimension is a "C" or higher (instead of a "B" or higher under current law).</w:t>
      </w:r>
    </w:p>
    <w:p w14:paraId="62CA4B9F" w14:textId="77777777" w:rsidR="001244A8" w:rsidRDefault="001244A8" w:rsidP="001244A8">
      <w:pPr>
        <w:spacing w:after="0" w:line="240" w:lineRule="auto"/>
        <w:rPr>
          <w:rFonts w:ascii="Times New Roman" w:hAnsi="Times New Roman" w:cs="Times New Roman"/>
          <w:i/>
          <w:sz w:val="24"/>
          <w:szCs w:val="24"/>
        </w:rPr>
      </w:pPr>
    </w:p>
    <w:p w14:paraId="60229704" w14:textId="6C310B13" w:rsidR="001244A8" w:rsidRPr="00857FC7" w:rsidRDefault="001244A8" w:rsidP="00857FC7">
      <w:pPr>
        <w:pStyle w:val="ListParagraph"/>
        <w:numPr>
          <w:ilvl w:val="0"/>
          <w:numId w:val="15"/>
        </w:numPr>
        <w:spacing w:after="0" w:line="240" w:lineRule="auto"/>
        <w:rPr>
          <w:rFonts w:ascii="Times New Roman" w:hAnsi="Times New Roman" w:cs="Times New Roman"/>
          <w:sz w:val="24"/>
          <w:szCs w:val="24"/>
        </w:rPr>
      </w:pPr>
      <w:r w:rsidRPr="00857FC7">
        <w:rPr>
          <w:rFonts w:ascii="Times New Roman" w:hAnsi="Times New Roman" w:cs="Times New Roman"/>
          <w:b/>
          <w:bCs/>
          <w:i/>
          <w:sz w:val="24"/>
          <w:szCs w:val="24"/>
        </w:rPr>
        <w:t>Report Card Committee.</w:t>
      </w:r>
      <w:r w:rsidRPr="00857FC7">
        <w:rPr>
          <w:rFonts w:ascii="Times New Roman" w:hAnsi="Times New Roman" w:cs="Times New Roman"/>
          <w:i/>
          <w:sz w:val="24"/>
          <w:szCs w:val="24"/>
        </w:rPr>
        <w:t xml:space="preserve">  </w:t>
      </w:r>
      <w:r w:rsidRPr="00857FC7">
        <w:rPr>
          <w:rFonts w:ascii="Times New Roman" w:hAnsi="Times New Roman" w:cs="Times New Roman"/>
          <w:sz w:val="24"/>
          <w:szCs w:val="24"/>
        </w:rPr>
        <w:t>The bill also establishes a study committee, which must convene and elect a chairperson not later than 30 days after the bill's immediate effective date, to study the calculation and weighting of performance measures, components, and the overall letter grade on the report card. Among its responsibilities are the following:</w:t>
      </w:r>
    </w:p>
    <w:p w14:paraId="6185DDA8" w14:textId="77777777" w:rsidR="001244A8" w:rsidRPr="001244A8" w:rsidRDefault="001244A8" w:rsidP="001244A8">
      <w:pPr>
        <w:spacing w:after="0" w:line="240" w:lineRule="auto"/>
        <w:rPr>
          <w:rFonts w:ascii="Times New Roman" w:hAnsi="Times New Roman" w:cs="Times New Roman"/>
          <w:i/>
          <w:sz w:val="24"/>
          <w:szCs w:val="24"/>
        </w:rPr>
      </w:pPr>
    </w:p>
    <w:p w14:paraId="021D1BA3" w14:textId="703C2D99" w:rsidR="001244A8" w:rsidRPr="001244A8" w:rsidRDefault="001244A8" w:rsidP="00857FC7">
      <w:pPr>
        <w:pStyle w:val="ListParagraph"/>
        <w:numPr>
          <w:ilvl w:val="0"/>
          <w:numId w:val="16"/>
        </w:numPr>
        <w:spacing w:after="0" w:line="240" w:lineRule="auto"/>
        <w:ind w:left="1080"/>
        <w:rPr>
          <w:rFonts w:ascii="Times New Roman" w:hAnsi="Times New Roman" w:cs="Times New Roman"/>
          <w:sz w:val="24"/>
          <w:szCs w:val="24"/>
        </w:rPr>
      </w:pPr>
      <w:r w:rsidRPr="001244A8">
        <w:rPr>
          <w:rFonts w:ascii="Times New Roman" w:hAnsi="Times New Roman" w:cs="Times New Roman"/>
          <w:sz w:val="24"/>
          <w:szCs w:val="24"/>
        </w:rPr>
        <w:t xml:space="preserve">Requires the committee to consider the report card's design principles, primary audience, and the </w:t>
      </w:r>
      <w:r w:rsidR="00530453" w:rsidRPr="001244A8">
        <w:rPr>
          <w:rFonts w:ascii="Times New Roman" w:hAnsi="Times New Roman" w:cs="Times New Roman"/>
          <w:sz w:val="24"/>
          <w:szCs w:val="24"/>
        </w:rPr>
        <w:t>way</w:t>
      </w:r>
      <w:r w:rsidRPr="001244A8">
        <w:rPr>
          <w:rFonts w:ascii="Times New Roman" w:hAnsi="Times New Roman" w:cs="Times New Roman"/>
          <w:sz w:val="24"/>
          <w:szCs w:val="24"/>
        </w:rPr>
        <w:t xml:space="preserve"> it addresses student academic achievement. </w:t>
      </w:r>
    </w:p>
    <w:p w14:paraId="428C893D" w14:textId="77777777" w:rsidR="001244A8" w:rsidRDefault="001244A8" w:rsidP="00857FC7">
      <w:pPr>
        <w:spacing w:after="0" w:line="240" w:lineRule="auto"/>
        <w:ind w:left="360"/>
        <w:rPr>
          <w:rFonts w:ascii="Times New Roman" w:hAnsi="Times New Roman" w:cs="Times New Roman"/>
          <w:sz w:val="24"/>
          <w:szCs w:val="24"/>
        </w:rPr>
      </w:pPr>
    </w:p>
    <w:p w14:paraId="1BE142B9" w14:textId="31B9DE29" w:rsidR="001244A8" w:rsidRPr="001244A8" w:rsidRDefault="001244A8" w:rsidP="00857FC7">
      <w:pPr>
        <w:pStyle w:val="ListParagraph"/>
        <w:numPr>
          <w:ilvl w:val="0"/>
          <w:numId w:val="16"/>
        </w:numPr>
        <w:spacing w:after="0" w:line="240" w:lineRule="auto"/>
        <w:ind w:left="1080"/>
        <w:rPr>
          <w:rFonts w:ascii="Times New Roman" w:hAnsi="Times New Roman" w:cs="Times New Roman"/>
          <w:sz w:val="24"/>
          <w:szCs w:val="24"/>
        </w:rPr>
      </w:pPr>
      <w:r w:rsidRPr="001244A8">
        <w:rPr>
          <w:rFonts w:ascii="Times New Roman" w:hAnsi="Times New Roman" w:cs="Times New Roman"/>
          <w:sz w:val="24"/>
          <w:szCs w:val="24"/>
        </w:rPr>
        <w:t>Specifies the committee is to consist of the following members: (1) the Superintendent of Public Instruction or designee; (2) the chairpersons of the House and Senate standing committees that consider primary and secondary education; (3) two members of the House of Representatives appointed by the Speaker; (4) two members of the Senate appointed by the President; and (5) three superintendents (representing rural, urban, and suburban districts) appointed by the Buckeye Association of School Administrators.</w:t>
      </w:r>
    </w:p>
    <w:p w14:paraId="6CA55AE8" w14:textId="77777777" w:rsidR="001244A8" w:rsidRDefault="001244A8" w:rsidP="00857FC7">
      <w:pPr>
        <w:spacing w:after="0" w:line="240" w:lineRule="auto"/>
        <w:ind w:left="360"/>
        <w:rPr>
          <w:rFonts w:ascii="Times New Roman" w:hAnsi="Times New Roman" w:cs="Times New Roman"/>
          <w:sz w:val="24"/>
          <w:szCs w:val="24"/>
        </w:rPr>
      </w:pPr>
    </w:p>
    <w:p w14:paraId="2BC96CE7" w14:textId="2479B870" w:rsidR="001244A8" w:rsidRPr="001244A8" w:rsidRDefault="001244A8" w:rsidP="00857FC7">
      <w:pPr>
        <w:pStyle w:val="ListParagraph"/>
        <w:numPr>
          <w:ilvl w:val="0"/>
          <w:numId w:val="16"/>
        </w:numPr>
        <w:spacing w:after="0" w:line="240" w:lineRule="auto"/>
        <w:ind w:left="1080"/>
        <w:rPr>
          <w:rFonts w:ascii="Times New Roman" w:hAnsi="Times New Roman" w:cs="Times New Roman"/>
          <w:sz w:val="24"/>
          <w:szCs w:val="24"/>
        </w:rPr>
      </w:pPr>
      <w:r w:rsidRPr="001244A8">
        <w:rPr>
          <w:rFonts w:ascii="Times New Roman" w:hAnsi="Times New Roman" w:cs="Times New Roman"/>
          <w:sz w:val="24"/>
          <w:szCs w:val="24"/>
        </w:rPr>
        <w:t>Requires the committee to investigate the following: (1) how many years of data should be included in, and how grades are assigned to, the Progress component; (2) how to structure the Prepared for Success component; (3) how the Gap Closing requirement meets federal requirements and applies to all schools; (4) how the Graduation component includes mobile students and students with disabilities; and (5) whether overall grades should be letter grades or another rating system.</w:t>
      </w:r>
    </w:p>
    <w:p w14:paraId="14DDDE03" w14:textId="77777777" w:rsidR="001244A8" w:rsidRDefault="001244A8" w:rsidP="00857FC7">
      <w:pPr>
        <w:spacing w:after="0" w:line="240" w:lineRule="auto"/>
        <w:ind w:left="360"/>
        <w:rPr>
          <w:rFonts w:ascii="Times New Roman" w:hAnsi="Times New Roman" w:cs="Times New Roman"/>
          <w:sz w:val="24"/>
          <w:szCs w:val="24"/>
        </w:rPr>
      </w:pPr>
    </w:p>
    <w:p w14:paraId="6963AE83" w14:textId="52AFD1D8" w:rsidR="001244A8" w:rsidRDefault="001244A8" w:rsidP="00857FC7">
      <w:pPr>
        <w:pStyle w:val="ListParagraph"/>
        <w:numPr>
          <w:ilvl w:val="0"/>
          <w:numId w:val="16"/>
        </w:numPr>
        <w:spacing w:after="0" w:line="240" w:lineRule="auto"/>
        <w:ind w:left="1080"/>
        <w:rPr>
          <w:rFonts w:ascii="Times New Roman" w:hAnsi="Times New Roman" w:cs="Times New Roman"/>
          <w:sz w:val="24"/>
          <w:szCs w:val="24"/>
        </w:rPr>
      </w:pPr>
      <w:r w:rsidRPr="001244A8">
        <w:rPr>
          <w:rFonts w:ascii="Times New Roman" w:hAnsi="Times New Roman" w:cs="Times New Roman"/>
          <w:sz w:val="24"/>
          <w:szCs w:val="24"/>
        </w:rPr>
        <w:lastRenderedPageBreak/>
        <w:t>Requires the committee to submit a report to the General Assembly by December 15, 2019, that includes recommendations on at least certain topics concerning the calculation of report cards.</w:t>
      </w:r>
    </w:p>
    <w:p w14:paraId="3E122070" w14:textId="77777777" w:rsidR="00857FC7" w:rsidRPr="00857FC7" w:rsidRDefault="00857FC7" w:rsidP="00857FC7">
      <w:pPr>
        <w:spacing w:after="0" w:line="240" w:lineRule="auto"/>
        <w:rPr>
          <w:rFonts w:ascii="Times New Roman" w:hAnsi="Times New Roman" w:cs="Times New Roman"/>
          <w:sz w:val="24"/>
          <w:szCs w:val="24"/>
        </w:rPr>
      </w:pPr>
    </w:p>
    <w:p w14:paraId="4049AAD2" w14:textId="48A3FB97" w:rsidR="006D34A7" w:rsidRDefault="001244A8" w:rsidP="006D34A7">
      <w:pPr>
        <w:pStyle w:val="NormalWeb"/>
        <w:numPr>
          <w:ilvl w:val="0"/>
          <w:numId w:val="16"/>
        </w:numPr>
        <w:spacing w:before="0" w:beforeAutospacing="0" w:after="0" w:afterAutospacing="0"/>
        <w:ind w:left="1080"/>
      </w:pPr>
      <w:r w:rsidRPr="00141E0D">
        <w:t>Requires the committee to consult with experts and convene a group of stakeholders that includes educators, advocates, parents, and the business community.</w:t>
      </w:r>
    </w:p>
    <w:p w14:paraId="2F4BD1FE" w14:textId="77777777" w:rsidR="006D34A7" w:rsidRDefault="006D34A7" w:rsidP="006D34A7">
      <w:pPr>
        <w:pStyle w:val="ListParagraph"/>
      </w:pPr>
    </w:p>
    <w:p w14:paraId="02B9DC79" w14:textId="66D98DA5" w:rsidR="006D34A7" w:rsidRPr="00141E0D" w:rsidRDefault="006D34A7" w:rsidP="006D34A7">
      <w:pPr>
        <w:pStyle w:val="NormalWeb"/>
        <w:numPr>
          <w:ilvl w:val="0"/>
          <w:numId w:val="15"/>
        </w:numPr>
        <w:spacing w:before="0" w:beforeAutospacing="0" w:after="0" w:afterAutospacing="0"/>
      </w:pPr>
      <w:r w:rsidRPr="006D34A7">
        <w:rPr>
          <w:b/>
          <w:bCs/>
          <w:i/>
          <w:iCs/>
        </w:rPr>
        <w:t>Academic Distress Commissions.</w:t>
      </w:r>
      <w:r>
        <w:t xml:space="preserve">  The Senate removed House provisions, which essentially mirrored those in HB 154 (currently pending in Senate Education Committee). During Senate deliberations proposals have been released by both the Senate and DeWine Administration.  Given the limited time remaining to reach consensus, it is likely this will be dealt with in separate legislation. The Speaker has indicated an interest in setting a moratorium on ADCs.</w:t>
      </w:r>
    </w:p>
    <w:p w14:paraId="19498FC8" w14:textId="77777777" w:rsidR="001244A8" w:rsidRPr="00141E0D" w:rsidRDefault="001244A8" w:rsidP="00141E0D">
      <w:pPr>
        <w:spacing w:after="0" w:line="240" w:lineRule="auto"/>
        <w:outlineLvl w:val="1"/>
        <w:rPr>
          <w:rFonts w:ascii="Times New Roman" w:eastAsia="Times New Roman" w:hAnsi="Times New Roman" w:cs="Times New Roman"/>
          <w:sz w:val="24"/>
          <w:szCs w:val="24"/>
        </w:rPr>
      </w:pPr>
    </w:p>
    <w:p w14:paraId="17F7C7B3" w14:textId="68C1CEA4" w:rsidR="00E660A4" w:rsidRPr="00141E0D" w:rsidRDefault="001407E2" w:rsidP="00141E0D">
      <w:pPr>
        <w:spacing w:after="0" w:line="240" w:lineRule="auto"/>
        <w:rPr>
          <w:rFonts w:ascii="Times New Roman" w:hAnsi="Times New Roman" w:cs="Times New Roman"/>
          <w:b/>
          <w:sz w:val="24"/>
          <w:szCs w:val="24"/>
        </w:rPr>
      </w:pPr>
      <w:r w:rsidRPr="00141E0D">
        <w:rPr>
          <w:rFonts w:ascii="Times New Roman" w:hAnsi="Times New Roman" w:cs="Times New Roman"/>
          <w:b/>
          <w:sz w:val="24"/>
          <w:szCs w:val="24"/>
        </w:rPr>
        <w:t>Education Issues in the Omnibus Amendment</w:t>
      </w:r>
      <w:r w:rsidR="001244A8">
        <w:rPr>
          <w:rFonts w:ascii="Times New Roman" w:hAnsi="Times New Roman" w:cs="Times New Roman"/>
          <w:b/>
          <w:sz w:val="24"/>
          <w:szCs w:val="24"/>
        </w:rPr>
        <w:t xml:space="preserve">. </w:t>
      </w:r>
      <w:r w:rsidR="001244A8" w:rsidRPr="001244A8">
        <w:rPr>
          <w:rFonts w:ascii="Times New Roman" w:hAnsi="Times New Roman" w:cs="Times New Roman"/>
          <w:bCs/>
          <w:sz w:val="24"/>
          <w:szCs w:val="24"/>
        </w:rPr>
        <w:t xml:space="preserve"> Other issues in the Senate-passed version of the bill include the following:</w:t>
      </w:r>
    </w:p>
    <w:p w14:paraId="552DA2E2" w14:textId="77777777" w:rsidR="001407E2" w:rsidRPr="00141E0D" w:rsidRDefault="00E660A4" w:rsidP="00ED68C0">
      <w:pPr>
        <w:pStyle w:val="ListParagraph"/>
        <w:numPr>
          <w:ilvl w:val="0"/>
          <w:numId w:val="1"/>
        </w:numPr>
        <w:spacing w:after="0" w:line="240" w:lineRule="auto"/>
        <w:ind w:left="810" w:hanging="450"/>
        <w:rPr>
          <w:rFonts w:ascii="Times New Roman" w:hAnsi="Times New Roman" w:cs="Times New Roman"/>
          <w:sz w:val="24"/>
          <w:szCs w:val="24"/>
        </w:rPr>
      </w:pPr>
      <w:r w:rsidRPr="00141E0D">
        <w:rPr>
          <w:rFonts w:ascii="Times New Roman" w:hAnsi="Times New Roman" w:cs="Times New Roman"/>
          <w:sz w:val="24"/>
          <w:szCs w:val="24"/>
        </w:rPr>
        <w:t>Removes language allowing a CTPD to set its own point value for an industry-recognized credential</w:t>
      </w:r>
    </w:p>
    <w:p w14:paraId="5B232C50" w14:textId="77777777" w:rsidR="001407E2" w:rsidRPr="00141E0D" w:rsidRDefault="00E660A4" w:rsidP="00ED68C0">
      <w:pPr>
        <w:pStyle w:val="ListParagraph"/>
        <w:numPr>
          <w:ilvl w:val="0"/>
          <w:numId w:val="1"/>
        </w:numPr>
        <w:spacing w:after="0" w:line="240" w:lineRule="auto"/>
        <w:ind w:left="810" w:hanging="450"/>
        <w:rPr>
          <w:rFonts w:ascii="Times New Roman" w:hAnsi="Times New Roman" w:cs="Times New Roman"/>
          <w:sz w:val="24"/>
          <w:szCs w:val="24"/>
        </w:rPr>
      </w:pPr>
      <w:r w:rsidRPr="00141E0D">
        <w:rPr>
          <w:rFonts w:ascii="Times New Roman" w:hAnsi="Times New Roman" w:cs="Times New Roman"/>
          <w:sz w:val="24"/>
          <w:szCs w:val="24"/>
        </w:rPr>
        <w:t xml:space="preserve">Requires that the chancellor and state superintendent work together with stakeholders to permit high school students enrolled in a career tech planning district (CTPD) to receive post-secondary credits comparable to CCP </w:t>
      </w:r>
    </w:p>
    <w:p w14:paraId="1CDE250E" w14:textId="77777777" w:rsidR="001407E2" w:rsidRPr="00141E0D" w:rsidRDefault="00181CF8" w:rsidP="00ED68C0">
      <w:pPr>
        <w:pStyle w:val="ListParagraph"/>
        <w:numPr>
          <w:ilvl w:val="0"/>
          <w:numId w:val="1"/>
        </w:numPr>
        <w:spacing w:after="0" w:line="240" w:lineRule="auto"/>
        <w:ind w:left="810" w:hanging="450"/>
        <w:rPr>
          <w:rFonts w:ascii="Times New Roman" w:hAnsi="Times New Roman" w:cs="Times New Roman"/>
          <w:sz w:val="24"/>
          <w:szCs w:val="24"/>
        </w:rPr>
      </w:pPr>
      <w:r w:rsidRPr="00141E0D">
        <w:rPr>
          <w:rFonts w:ascii="Times New Roman" w:hAnsi="Times New Roman" w:cs="Times New Roman"/>
          <w:sz w:val="24"/>
          <w:szCs w:val="24"/>
        </w:rPr>
        <w:t>Allows applicants for the alternative resident educator license to have either an undergraduate GPA of at least 2.5 or a graduate school GPA of at least 3.0</w:t>
      </w:r>
    </w:p>
    <w:p w14:paraId="114039D2" w14:textId="77777777" w:rsidR="001407E2" w:rsidRPr="00141E0D" w:rsidRDefault="00B04602" w:rsidP="00ED68C0">
      <w:pPr>
        <w:pStyle w:val="ListParagraph"/>
        <w:numPr>
          <w:ilvl w:val="0"/>
          <w:numId w:val="1"/>
        </w:numPr>
        <w:spacing w:after="0" w:line="240" w:lineRule="auto"/>
        <w:ind w:left="810" w:hanging="450"/>
        <w:rPr>
          <w:rFonts w:ascii="Times New Roman" w:hAnsi="Times New Roman" w:cs="Times New Roman"/>
          <w:sz w:val="24"/>
          <w:szCs w:val="24"/>
        </w:rPr>
      </w:pPr>
      <w:r w:rsidRPr="00141E0D">
        <w:rPr>
          <w:rFonts w:ascii="Times New Roman" w:hAnsi="Times New Roman" w:cs="Times New Roman"/>
          <w:sz w:val="24"/>
          <w:szCs w:val="24"/>
        </w:rPr>
        <w:t>Modifies language regarding professional development for computer science instruction for the ’19 and ’20 school years to allow a licensed educator teaching in grades 7-12 to teach a computer science course if they complete an approved program</w:t>
      </w:r>
    </w:p>
    <w:p w14:paraId="354F4546" w14:textId="77777777" w:rsidR="001407E2" w:rsidRPr="00141E0D" w:rsidRDefault="007006CC" w:rsidP="00ED68C0">
      <w:pPr>
        <w:pStyle w:val="ListParagraph"/>
        <w:numPr>
          <w:ilvl w:val="0"/>
          <w:numId w:val="1"/>
        </w:numPr>
        <w:spacing w:after="0" w:line="240" w:lineRule="auto"/>
        <w:ind w:left="810" w:hanging="450"/>
        <w:rPr>
          <w:rFonts w:ascii="Times New Roman" w:hAnsi="Times New Roman" w:cs="Times New Roman"/>
          <w:sz w:val="24"/>
          <w:szCs w:val="24"/>
        </w:rPr>
      </w:pPr>
      <w:r w:rsidRPr="00141E0D">
        <w:rPr>
          <w:rFonts w:ascii="Times New Roman" w:hAnsi="Times New Roman" w:cs="Times New Roman"/>
          <w:sz w:val="24"/>
          <w:szCs w:val="24"/>
        </w:rPr>
        <w:t>Reduces the number of items schools are required to submit annually to ODE on their consolidated school mandate report</w:t>
      </w:r>
    </w:p>
    <w:p w14:paraId="31501CA0" w14:textId="128CE960" w:rsidR="00585A5B" w:rsidRDefault="00397CE0" w:rsidP="00ED68C0">
      <w:pPr>
        <w:pStyle w:val="ListParagraph"/>
        <w:numPr>
          <w:ilvl w:val="0"/>
          <w:numId w:val="1"/>
        </w:numPr>
        <w:spacing w:after="0" w:line="240" w:lineRule="auto"/>
        <w:ind w:left="810" w:hanging="450"/>
        <w:rPr>
          <w:rFonts w:ascii="Times New Roman" w:hAnsi="Times New Roman" w:cs="Times New Roman"/>
          <w:sz w:val="24"/>
          <w:szCs w:val="24"/>
        </w:rPr>
      </w:pPr>
      <w:r w:rsidRPr="00141E0D">
        <w:rPr>
          <w:rFonts w:ascii="Times New Roman" w:hAnsi="Times New Roman" w:cs="Times New Roman"/>
          <w:sz w:val="24"/>
          <w:szCs w:val="24"/>
        </w:rPr>
        <w:t xml:space="preserve">Removes a requirement that a school district or chartered nonpublic school that requires foreign language for high school graduation must count a course in computer coding toward that requirement </w:t>
      </w:r>
    </w:p>
    <w:p w14:paraId="42E1D07B" w14:textId="1D1F4968" w:rsidR="003E5E8D" w:rsidRDefault="003E5E8D" w:rsidP="003E5E8D">
      <w:pPr>
        <w:spacing w:after="0" w:line="240" w:lineRule="auto"/>
        <w:rPr>
          <w:rFonts w:ascii="Times New Roman" w:hAnsi="Times New Roman" w:cs="Times New Roman"/>
          <w:sz w:val="24"/>
          <w:szCs w:val="24"/>
        </w:rPr>
      </w:pPr>
    </w:p>
    <w:p w14:paraId="67A9D8AF" w14:textId="5ECF2120" w:rsidR="001022F0" w:rsidRDefault="003E5E8D" w:rsidP="003E5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budget </w:t>
      </w:r>
      <w:r w:rsidR="00857FC7">
        <w:rPr>
          <w:rFonts w:ascii="Times New Roman" w:hAnsi="Times New Roman" w:cs="Times New Roman"/>
          <w:sz w:val="24"/>
          <w:szCs w:val="24"/>
        </w:rPr>
        <w:t xml:space="preserve">is </w:t>
      </w:r>
      <w:r>
        <w:rPr>
          <w:rFonts w:ascii="Times New Roman" w:hAnsi="Times New Roman" w:cs="Times New Roman"/>
          <w:sz w:val="24"/>
          <w:szCs w:val="24"/>
        </w:rPr>
        <w:t xml:space="preserve">now </w:t>
      </w:r>
      <w:r w:rsidR="00857FC7">
        <w:rPr>
          <w:rFonts w:ascii="Times New Roman" w:hAnsi="Times New Roman" w:cs="Times New Roman"/>
          <w:sz w:val="24"/>
          <w:szCs w:val="24"/>
        </w:rPr>
        <w:t>in</w:t>
      </w:r>
      <w:r>
        <w:rPr>
          <w:rFonts w:ascii="Times New Roman" w:hAnsi="Times New Roman" w:cs="Times New Roman"/>
          <w:sz w:val="24"/>
          <w:szCs w:val="24"/>
        </w:rPr>
        <w:t xml:space="preserve"> conference committee where the differences will be hammered out between the two chambers with the goal of having a balanced budget approved and in place by June 30, 2019, the end of the current state fiscal year.  </w:t>
      </w:r>
      <w:r w:rsidR="001022F0">
        <w:rPr>
          <w:rFonts w:ascii="Times New Roman" w:hAnsi="Times New Roman" w:cs="Times New Roman"/>
          <w:sz w:val="24"/>
          <w:szCs w:val="24"/>
        </w:rPr>
        <w:t>Currently, no consensus has been reached as to what version of the bill (House or Senate) conferees will work from and, despite the House and Senate have session scheduled for both Saturday and Sunday, the Speaker has already begun drafting a continuing resolution to keep state government open should they miss the June 30 deadline.</w:t>
      </w:r>
      <w:bookmarkStart w:id="0" w:name="_GoBack"/>
      <w:bookmarkEnd w:id="0"/>
    </w:p>
    <w:p w14:paraId="3909AF9E" w14:textId="77777777" w:rsidR="001022F0" w:rsidRDefault="001022F0" w:rsidP="003E5E8D">
      <w:pPr>
        <w:spacing w:after="0" w:line="240" w:lineRule="auto"/>
        <w:rPr>
          <w:rFonts w:ascii="Times New Roman" w:hAnsi="Times New Roman" w:cs="Times New Roman"/>
          <w:sz w:val="24"/>
          <w:szCs w:val="24"/>
        </w:rPr>
      </w:pPr>
    </w:p>
    <w:p w14:paraId="310115A6" w14:textId="79EAA004" w:rsidR="003E5E8D" w:rsidRPr="003E5E8D" w:rsidRDefault="003E5E8D" w:rsidP="003E5E8D">
      <w:pPr>
        <w:spacing w:after="0" w:line="240" w:lineRule="auto"/>
        <w:rPr>
          <w:rFonts w:ascii="Times New Roman" w:hAnsi="Times New Roman" w:cs="Times New Roman"/>
          <w:sz w:val="24"/>
          <w:szCs w:val="24"/>
        </w:rPr>
      </w:pPr>
      <w:r>
        <w:rPr>
          <w:rFonts w:ascii="Times New Roman" w:hAnsi="Times New Roman" w:cs="Times New Roman"/>
          <w:sz w:val="24"/>
          <w:szCs w:val="24"/>
        </w:rPr>
        <w:t>Ultimately, the bill will likely include the key policy and funding priorities of the DeWine administration with additional policy recommendations added by the House and Senate.</w:t>
      </w:r>
      <w:r w:rsidR="00857FC7">
        <w:rPr>
          <w:rFonts w:ascii="Times New Roman" w:hAnsi="Times New Roman" w:cs="Times New Roman"/>
          <w:sz w:val="24"/>
          <w:szCs w:val="24"/>
        </w:rPr>
        <w:t xml:space="preserve"> Outstanding issues of contention appear to be largely related to Medicaid and related healthcare transparency issues.  Work of the Cupp-Patterson Fair School Funding plan will be dealt with in separate legislation.</w:t>
      </w:r>
    </w:p>
    <w:sectPr w:rsidR="003E5E8D" w:rsidRPr="003E5E8D" w:rsidSect="00141E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D339D" w14:textId="77777777" w:rsidR="00D02C23" w:rsidRDefault="00D02C23" w:rsidP="00080093">
      <w:pPr>
        <w:spacing w:after="0" w:line="240" w:lineRule="auto"/>
      </w:pPr>
      <w:r>
        <w:separator/>
      </w:r>
    </w:p>
  </w:endnote>
  <w:endnote w:type="continuationSeparator" w:id="0">
    <w:p w14:paraId="32B3CA5F" w14:textId="77777777" w:rsidR="00D02C23" w:rsidRDefault="00D02C23" w:rsidP="0008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872092"/>
      <w:docPartObj>
        <w:docPartGallery w:val="Page Numbers (Bottom of Page)"/>
        <w:docPartUnique/>
      </w:docPartObj>
    </w:sdtPr>
    <w:sdtEndPr>
      <w:rPr>
        <w:noProof/>
      </w:rPr>
    </w:sdtEndPr>
    <w:sdtContent>
      <w:p w14:paraId="1CDB8FC9" w14:textId="77777777" w:rsidR="00080093" w:rsidRDefault="00080093">
        <w:pPr>
          <w:pStyle w:val="Footer"/>
          <w:jc w:val="right"/>
        </w:pPr>
        <w:r>
          <w:fldChar w:fldCharType="begin"/>
        </w:r>
        <w:r>
          <w:instrText xml:space="preserve"> PAGE   \* MERGEFORMAT </w:instrText>
        </w:r>
        <w:r>
          <w:fldChar w:fldCharType="separate"/>
        </w:r>
        <w:r w:rsidR="004934C9">
          <w:rPr>
            <w:noProof/>
          </w:rPr>
          <w:t>1</w:t>
        </w:r>
        <w:r>
          <w:rPr>
            <w:noProof/>
          </w:rPr>
          <w:fldChar w:fldCharType="end"/>
        </w:r>
      </w:p>
    </w:sdtContent>
  </w:sdt>
  <w:p w14:paraId="2E27D169" w14:textId="77777777" w:rsidR="00080093" w:rsidRDefault="0008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C087" w14:textId="77777777" w:rsidR="00D02C23" w:rsidRDefault="00D02C23" w:rsidP="00080093">
      <w:pPr>
        <w:spacing w:after="0" w:line="240" w:lineRule="auto"/>
      </w:pPr>
      <w:r>
        <w:separator/>
      </w:r>
    </w:p>
  </w:footnote>
  <w:footnote w:type="continuationSeparator" w:id="0">
    <w:p w14:paraId="394BADC6" w14:textId="77777777" w:rsidR="00D02C23" w:rsidRDefault="00D02C23" w:rsidP="00080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B39"/>
    <w:multiLevelType w:val="hybridMultilevel"/>
    <w:tmpl w:val="8D70A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0D1361"/>
    <w:multiLevelType w:val="hybridMultilevel"/>
    <w:tmpl w:val="625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118D"/>
    <w:multiLevelType w:val="hybridMultilevel"/>
    <w:tmpl w:val="166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854DD"/>
    <w:multiLevelType w:val="hybridMultilevel"/>
    <w:tmpl w:val="8EAE2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77518"/>
    <w:multiLevelType w:val="hybridMultilevel"/>
    <w:tmpl w:val="F648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E1EC1"/>
    <w:multiLevelType w:val="hybridMultilevel"/>
    <w:tmpl w:val="06CE8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4268"/>
    <w:multiLevelType w:val="hybridMultilevel"/>
    <w:tmpl w:val="BE2C1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9404B"/>
    <w:multiLevelType w:val="hybridMultilevel"/>
    <w:tmpl w:val="953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51A93"/>
    <w:multiLevelType w:val="hybridMultilevel"/>
    <w:tmpl w:val="5304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72EF8"/>
    <w:multiLevelType w:val="hybridMultilevel"/>
    <w:tmpl w:val="99C8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07B5C"/>
    <w:multiLevelType w:val="hybridMultilevel"/>
    <w:tmpl w:val="70B2EFE2"/>
    <w:lvl w:ilvl="0" w:tplc="701ED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E174E"/>
    <w:multiLevelType w:val="hybridMultilevel"/>
    <w:tmpl w:val="7F3A3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55383"/>
    <w:multiLevelType w:val="hybridMultilevel"/>
    <w:tmpl w:val="F9A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932D5"/>
    <w:multiLevelType w:val="hybridMultilevel"/>
    <w:tmpl w:val="A07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24ABE"/>
    <w:multiLevelType w:val="hybridMultilevel"/>
    <w:tmpl w:val="83F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B7C86"/>
    <w:multiLevelType w:val="hybridMultilevel"/>
    <w:tmpl w:val="7F149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2"/>
  </w:num>
  <w:num w:numId="4">
    <w:abstractNumId w:val="1"/>
  </w:num>
  <w:num w:numId="5">
    <w:abstractNumId w:val="10"/>
  </w:num>
  <w:num w:numId="6">
    <w:abstractNumId w:val="7"/>
  </w:num>
  <w:num w:numId="7">
    <w:abstractNumId w:val="9"/>
  </w:num>
  <w:num w:numId="8">
    <w:abstractNumId w:val="0"/>
  </w:num>
  <w:num w:numId="9">
    <w:abstractNumId w:val="3"/>
  </w:num>
  <w:num w:numId="10">
    <w:abstractNumId w:val="4"/>
  </w:num>
  <w:num w:numId="11">
    <w:abstractNumId w:val="8"/>
  </w:num>
  <w:num w:numId="12">
    <w:abstractNumId w:val="2"/>
  </w:num>
  <w:num w:numId="13">
    <w:abstractNumId w:val="11"/>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FE"/>
    <w:rsid w:val="00080093"/>
    <w:rsid w:val="000E1709"/>
    <w:rsid w:val="001022F0"/>
    <w:rsid w:val="001244A8"/>
    <w:rsid w:val="001407E2"/>
    <w:rsid w:val="00141E0D"/>
    <w:rsid w:val="00160E4D"/>
    <w:rsid w:val="00170D6A"/>
    <w:rsid w:val="00181CF8"/>
    <w:rsid w:val="00214506"/>
    <w:rsid w:val="002547DF"/>
    <w:rsid w:val="002679E5"/>
    <w:rsid w:val="00296716"/>
    <w:rsid w:val="002A0557"/>
    <w:rsid w:val="00315D05"/>
    <w:rsid w:val="00371ADB"/>
    <w:rsid w:val="00397CE0"/>
    <w:rsid w:val="003C07A4"/>
    <w:rsid w:val="003E5E8D"/>
    <w:rsid w:val="00402FB6"/>
    <w:rsid w:val="004934C9"/>
    <w:rsid w:val="004A3C8B"/>
    <w:rsid w:val="004A46FE"/>
    <w:rsid w:val="004D656F"/>
    <w:rsid w:val="004E3F5A"/>
    <w:rsid w:val="004F137D"/>
    <w:rsid w:val="00523B85"/>
    <w:rsid w:val="00530453"/>
    <w:rsid w:val="005670EF"/>
    <w:rsid w:val="00570B06"/>
    <w:rsid w:val="00585A5B"/>
    <w:rsid w:val="005B6998"/>
    <w:rsid w:val="00640EF2"/>
    <w:rsid w:val="00676899"/>
    <w:rsid w:val="006D34A7"/>
    <w:rsid w:val="006E0C13"/>
    <w:rsid w:val="007006CC"/>
    <w:rsid w:val="0085187E"/>
    <w:rsid w:val="00857FC7"/>
    <w:rsid w:val="00946DFC"/>
    <w:rsid w:val="00A12AB5"/>
    <w:rsid w:val="00A17D2D"/>
    <w:rsid w:val="00A56A96"/>
    <w:rsid w:val="00AC65CE"/>
    <w:rsid w:val="00AF7896"/>
    <w:rsid w:val="00B04602"/>
    <w:rsid w:val="00B50E8A"/>
    <w:rsid w:val="00B54CB5"/>
    <w:rsid w:val="00C41064"/>
    <w:rsid w:val="00C8052D"/>
    <w:rsid w:val="00CE1BF7"/>
    <w:rsid w:val="00D02C23"/>
    <w:rsid w:val="00D423B7"/>
    <w:rsid w:val="00D73C71"/>
    <w:rsid w:val="00DB00DC"/>
    <w:rsid w:val="00DD1AD1"/>
    <w:rsid w:val="00E301CC"/>
    <w:rsid w:val="00E660A4"/>
    <w:rsid w:val="00EC00E9"/>
    <w:rsid w:val="00ED68C0"/>
    <w:rsid w:val="00EF0745"/>
    <w:rsid w:val="00F22BBC"/>
    <w:rsid w:val="00FC46C6"/>
    <w:rsid w:val="00FD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680D"/>
  <w15:chartTrackingRefBased/>
  <w15:docId w15:val="{25ADB41E-BA2D-4B86-B6B5-53441851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4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70B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4C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1A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6F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A46FE"/>
    <w:rPr>
      <w:color w:val="0000FF"/>
      <w:u w:val="single"/>
    </w:rPr>
  </w:style>
  <w:style w:type="paragraph" w:styleId="NormalWeb">
    <w:name w:val="Normal (Web)"/>
    <w:basedOn w:val="Normal"/>
    <w:uiPriority w:val="99"/>
    <w:semiHidden/>
    <w:unhideWhenUsed/>
    <w:rsid w:val="004A46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07E2"/>
    <w:pPr>
      <w:ind w:left="720"/>
      <w:contextualSpacing/>
    </w:pPr>
  </w:style>
  <w:style w:type="paragraph" w:styleId="Header">
    <w:name w:val="header"/>
    <w:basedOn w:val="Normal"/>
    <w:link w:val="HeaderChar"/>
    <w:uiPriority w:val="99"/>
    <w:unhideWhenUsed/>
    <w:rsid w:val="00080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093"/>
  </w:style>
  <w:style w:type="paragraph" w:styleId="Footer">
    <w:name w:val="footer"/>
    <w:basedOn w:val="Normal"/>
    <w:link w:val="FooterChar"/>
    <w:uiPriority w:val="99"/>
    <w:unhideWhenUsed/>
    <w:rsid w:val="00080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093"/>
  </w:style>
  <w:style w:type="character" w:customStyle="1" w:styleId="Heading5Char">
    <w:name w:val="Heading 5 Char"/>
    <w:basedOn w:val="DefaultParagraphFont"/>
    <w:link w:val="Heading5"/>
    <w:uiPriority w:val="9"/>
    <w:rsid w:val="00DD1AD1"/>
    <w:rPr>
      <w:rFonts w:asciiTheme="majorHAnsi" w:eastAsiaTheme="majorEastAsia" w:hAnsiTheme="majorHAnsi" w:cstheme="majorBidi"/>
      <w:color w:val="2E74B5" w:themeColor="accent1" w:themeShade="BF"/>
    </w:rPr>
  </w:style>
  <w:style w:type="character" w:customStyle="1" w:styleId="sponsor">
    <w:name w:val="sponsor"/>
    <w:basedOn w:val="DefaultParagraphFont"/>
    <w:rsid w:val="00DD1AD1"/>
  </w:style>
  <w:style w:type="character" w:customStyle="1" w:styleId="Heading4Char">
    <w:name w:val="Heading 4 Char"/>
    <w:basedOn w:val="DefaultParagraphFont"/>
    <w:link w:val="Heading4"/>
    <w:uiPriority w:val="9"/>
    <w:semiHidden/>
    <w:rsid w:val="00B54CB5"/>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570B0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70B06"/>
    <w:rPr>
      <w:b/>
      <w:bCs/>
    </w:rPr>
  </w:style>
  <w:style w:type="paragraph" w:customStyle="1" w:styleId="Default">
    <w:name w:val="Default"/>
    <w:rsid w:val="00315D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6783">
      <w:bodyDiv w:val="1"/>
      <w:marLeft w:val="0"/>
      <w:marRight w:val="0"/>
      <w:marTop w:val="0"/>
      <w:marBottom w:val="0"/>
      <w:divBdr>
        <w:top w:val="none" w:sz="0" w:space="0" w:color="auto"/>
        <w:left w:val="none" w:sz="0" w:space="0" w:color="auto"/>
        <w:bottom w:val="none" w:sz="0" w:space="0" w:color="auto"/>
        <w:right w:val="none" w:sz="0" w:space="0" w:color="auto"/>
      </w:divBdr>
    </w:div>
    <w:div w:id="439885155">
      <w:bodyDiv w:val="1"/>
      <w:marLeft w:val="0"/>
      <w:marRight w:val="0"/>
      <w:marTop w:val="0"/>
      <w:marBottom w:val="0"/>
      <w:divBdr>
        <w:top w:val="none" w:sz="0" w:space="0" w:color="auto"/>
        <w:left w:val="none" w:sz="0" w:space="0" w:color="auto"/>
        <w:bottom w:val="none" w:sz="0" w:space="0" w:color="auto"/>
        <w:right w:val="none" w:sz="0" w:space="0" w:color="auto"/>
      </w:divBdr>
    </w:div>
    <w:div w:id="487093001">
      <w:bodyDiv w:val="1"/>
      <w:marLeft w:val="0"/>
      <w:marRight w:val="0"/>
      <w:marTop w:val="0"/>
      <w:marBottom w:val="0"/>
      <w:divBdr>
        <w:top w:val="none" w:sz="0" w:space="0" w:color="auto"/>
        <w:left w:val="none" w:sz="0" w:space="0" w:color="auto"/>
        <w:bottom w:val="none" w:sz="0" w:space="0" w:color="auto"/>
        <w:right w:val="none" w:sz="0" w:space="0" w:color="auto"/>
      </w:divBdr>
    </w:div>
    <w:div w:id="574902215">
      <w:bodyDiv w:val="1"/>
      <w:marLeft w:val="0"/>
      <w:marRight w:val="0"/>
      <w:marTop w:val="0"/>
      <w:marBottom w:val="0"/>
      <w:divBdr>
        <w:top w:val="none" w:sz="0" w:space="0" w:color="auto"/>
        <w:left w:val="none" w:sz="0" w:space="0" w:color="auto"/>
        <w:bottom w:val="none" w:sz="0" w:space="0" w:color="auto"/>
        <w:right w:val="none" w:sz="0" w:space="0" w:color="auto"/>
      </w:divBdr>
    </w:div>
    <w:div w:id="666251321">
      <w:bodyDiv w:val="1"/>
      <w:marLeft w:val="0"/>
      <w:marRight w:val="0"/>
      <w:marTop w:val="0"/>
      <w:marBottom w:val="0"/>
      <w:divBdr>
        <w:top w:val="none" w:sz="0" w:space="0" w:color="auto"/>
        <w:left w:val="none" w:sz="0" w:space="0" w:color="auto"/>
        <w:bottom w:val="none" w:sz="0" w:space="0" w:color="auto"/>
        <w:right w:val="none" w:sz="0" w:space="0" w:color="auto"/>
      </w:divBdr>
      <w:divsChild>
        <w:div w:id="526060322">
          <w:marLeft w:val="0"/>
          <w:marRight w:val="0"/>
          <w:marTop w:val="0"/>
          <w:marBottom w:val="240"/>
          <w:divBdr>
            <w:top w:val="none" w:sz="0" w:space="0" w:color="auto"/>
            <w:left w:val="none" w:sz="0" w:space="0" w:color="auto"/>
            <w:bottom w:val="none" w:sz="0" w:space="0" w:color="auto"/>
            <w:right w:val="none" w:sz="0" w:space="0" w:color="auto"/>
          </w:divBdr>
          <w:divsChild>
            <w:div w:id="10796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4977">
      <w:bodyDiv w:val="1"/>
      <w:marLeft w:val="0"/>
      <w:marRight w:val="0"/>
      <w:marTop w:val="0"/>
      <w:marBottom w:val="0"/>
      <w:divBdr>
        <w:top w:val="none" w:sz="0" w:space="0" w:color="auto"/>
        <w:left w:val="none" w:sz="0" w:space="0" w:color="auto"/>
        <w:bottom w:val="none" w:sz="0" w:space="0" w:color="auto"/>
        <w:right w:val="none" w:sz="0" w:space="0" w:color="auto"/>
      </w:divBdr>
    </w:div>
    <w:div w:id="1010449282">
      <w:bodyDiv w:val="1"/>
      <w:marLeft w:val="0"/>
      <w:marRight w:val="0"/>
      <w:marTop w:val="0"/>
      <w:marBottom w:val="0"/>
      <w:divBdr>
        <w:top w:val="none" w:sz="0" w:space="0" w:color="auto"/>
        <w:left w:val="none" w:sz="0" w:space="0" w:color="auto"/>
        <w:bottom w:val="none" w:sz="0" w:space="0" w:color="auto"/>
        <w:right w:val="none" w:sz="0" w:space="0" w:color="auto"/>
      </w:divBdr>
    </w:div>
    <w:div w:id="1044527678">
      <w:bodyDiv w:val="1"/>
      <w:marLeft w:val="0"/>
      <w:marRight w:val="0"/>
      <w:marTop w:val="0"/>
      <w:marBottom w:val="0"/>
      <w:divBdr>
        <w:top w:val="none" w:sz="0" w:space="0" w:color="auto"/>
        <w:left w:val="none" w:sz="0" w:space="0" w:color="auto"/>
        <w:bottom w:val="none" w:sz="0" w:space="0" w:color="auto"/>
        <w:right w:val="none" w:sz="0" w:space="0" w:color="auto"/>
      </w:divBdr>
    </w:div>
    <w:div w:id="1180118677">
      <w:bodyDiv w:val="1"/>
      <w:marLeft w:val="0"/>
      <w:marRight w:val="0"/>
      <w:marTop w:val="0"/>
      <w:marBottom w:val="0"/>
      <w:divBdr>
        <w:top w:val="none" w:sz="0" w:space="0" w:color="auto"/>
        <w:left w:val="none" w:sz="0" w:space="0" w:color="auto"/>
        <w:bottom w:val="none" w:sz="0" w:space="0" w:color="auto"/>
        <w:right w:val="none" w:sz="0" w:space="0" w:color="auto"/>
      </w:divBdr>
    </w:div>
    <w:div w:id="1306853888">
      <w:bodyDiv w:val="1"/>
      <w:marLeft w:val="0"/>
      <w:marRight w:val="0"/>
      <w:marTop w:val="0"/>
      <w:marBottom w:val="0"/>
      <w:divBdr>
        <w:top w:val="none" w:sz="0" w:space="0" w:color="auto"/>
        <w:left w:val="none" w:sz="0" w:space="0" w:color="auto"/>
        <w:bottom w:val="none" w:sz="0" w:space="0" w:color="auto"/>
        <w:right w:val="none" w:sz="0" w:space="0" w:color="auto"/>
      </w:divBdr>
    </w:div>
    <w:div w:id="1527519938">
      <w:bodyDiv w:val="1"/>
      <w:marLeft w:val="0"/>
      <w:marRight w:val="0"/>
      <w:marTop w:val="0"/>
      <w:marBottom w:val="0"/>
      <w:divBdr>
        <w:top w:val="none" w:sz="0" w:space="0" w:color="auto"/>
        <w:left w:val="none" w:sz="0" w:space="0" w:color="auto"/>
        <w:bottom w:val="none" w:sz="0" w:space="0" w:color="auto"/>
        <w:right w:val="none" w:sz="0" w:space="0" w:color="auto"/>
      </w:divBdr>
    </w:div>
    <w:div w:id="19061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FAECA-467F-465F-8A2C-D5CAAC5C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7</Pages>
  <Words>2817</Words>
  <Characters>17669</Characters>
  <Application>Microsoft Office Word</Application>
  <DocSecurity>0</DocSecurity>
  <Lines>519</Lines>
  <Paragraphs>252</Paragraphs>
  <ScaleCrop>false</ScaleCrop>
  <HeadingPairs>
    <vt:vector size="2" baseType="variant">
      <vt:variant>
        <vt:lpstr>Title</vt:lpstr>
      </vt:variant>
      <vt:variant>
        <vt:i4>1</vt:i4>
      </vt:variant>
    </vt:vector>
  </HeadingPairs>
  <TitlesOfParts>
    <vt:vector size="1" baseType="lpstr">
      <vt:lpstr/>
    </vt:vector>
  </TitlesOfParts>
  <Company>HCESC</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Oxender</dc:creator>
  <cp:keywords/>
  <dc:description/>
  <cp:lastModifiedBy>Craig Burford</cp:lastModifiedBy>
  <cp:revision>4</cp:revision>
  <dcterms:created xsi:type="dcterms:W3CDTF">2019-06-26T13:16:00Z</dcterms:created>
  <dcterms:modified xsi:type="dcterms:W3CDTF">2019-06-28T14:43:00Z</dcterms:modified>
</cp:coreProperties>
</file>